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DC" w:rsidRDefault="003169DC"/>
    <w:tbl>
      <w:tblPr>
        <w:tblW w:w="9666" w:type="dxa"/>
        <w:tblBorders>
          <w:bottom w:val="single" w:sz="4" w:space="0" w:color="auto"/>
        </w:tblBorders>
        <w:tblLook w:val="0000"/>
      </w:tblPr>
      <w:tblGrid>
        <w:gridCol w:w="2448"/>
        <w:gridCol w:w="7218"/>
      </w:tblGrid>
      <w:tr w:rsidR="003169DC">
        <w:trPr>
          <w:trHeight w:val="504"/>
        </w:trPr>
        <w:tc>
          <w:tcPr>
            <w:tcW w:w="2448" w:type="dxa"/>
            <w:tcBorders>
              <w:top w:val="single" w:sz="8" w:space="0" w:color="auto"/>
              <w:bottom w:val="nil"/>
            </w:tcBorders>
            <w:vAlign w:val="bottom"/>
          </w:tcPr>
          <w:p w:rsidR="003169DC" w:rsidRPr="002A3FB5" w:rsidRDefault="001B0E3F" w:rsidP="00604CDA">
            <w:pPr>
              <w:pStyle w:val="Header"/>
              <w:tabs>
                <w:tab w:val="clear" w:pos="4320"/>
                <w:tab w:val="clear" w:pos="8640"/>
              </w:tabs>
              <w:jc w:val="right"/>
              <w:rPr>
                <w:rFonts w:cs="Arial"/>
                <w:szCs w:val="24"/>
              </w:rPr>
            </w:pPr>
            <w:r>
              <w:rPr>
                <w:rFonts w:cs="Arial"/>
                <w:szCs w:val="24"/>
              </w:rPr>
              <w:t>Topic</w:t>
            </w:r>
          </w:p>
        </w:tc>
        <w:tc>
          <w:tcPr>
            <w:tcW w:w="7218" w:type="dxa"/>
            <w:tcBorders>
              <w:top w:val="single" w:sz="8" w:space="0" w:color="auto"/>
              <w:bottom w:val="single" w:sz="4" w:space="0" w:color="auto"/>
            </w:tcBorders>
            <w:vAlign w:val="bottom"/>
          </w:tcPr>
          <w:p w:rsidR="003169DC" w:rsidRPr="002A3FB5" w:rsidRDefault="005B2242" w:rsidP="005B2242">
            <w:pPr>
              <w:pStyle w:val="Header"/>
              <w:tabs>
                <w:tab w:val="clear" w:pos="4320"/>
                <w:tab w:val="clear" w:pos="8640"/>
              </w:tabs>
              <w:rPr>
                <w:szCs w:val="24"/>
              </w:rPr>
            </w:pPr>
            <w:r>
              <w:rPr>
                <w:szCs w:val="24"/>
              </w:rPr>
              <w:t xml:space="preserve">Proposal for </w:t>
            </w:r>
            <w:r w:rsidR="004F51D7">
              <w:rPr>
                <w:szCs w:val="24"/>
              </w:rPr>
              <w:t xml:space="preserve">renewal of the </w:t>
            </w:r>
            <w:r>
              <w:rPr>
                <w:szCs w:val="24"/>
              </w:rPr>
              <w:t>JCSH mandate (2015—20)</w:t>
            </w:r>
          </w:p>
        </w:tc>
      </w:tr>
      <w:tr w:rsidR="003169DC">
        <w:trPr>
          <w:trHeight w:val="504"/>
        </w:trPr>
        <w:tc>
          <w:tcPr>
            <w:tcW w:w="2448" w:type="dxa"/>
            <w:tcBorders>
              <w:top w:val="nil"/>
              <w:bottom w:val="nil"/>
            </w:tcBorders>
            <w:vAlign w:val="bottom"/>
          </w:tcPr>
          <w:p w:rsidR="003169DC" w:rsidRPr="002A3FB5" w:rsidRDefault="001B0E3F" w:rsidP="00604CDA">
            <w:pPr>
              <w:pStyle w:val="Header"/>
              <w:tabs>
                <w:tab w:val="clear" w:pos="4320"/>
                <w:tab w:val="clear" w:pos="8640"/>
              </w:tabs>
              <w:jc w:val="right"/>
              <w:rPr>
                <w:rFonts w:cs="Arial"/>
                <w:szCs w:val="24"/>
              </w:rPr>
            </w:pPr>
            <w:r>
              <w:rPr>
                <w:rFonts w:cs="Arial"/>
                <w:szCs w:val="24"/>
              </w:rPr>
              <w:t>Tab</w:t>
            </w:r>
          </w:p>
        </w:tc>
        <w:tc>
          <w:tcPr>
            <w:tcW w:w="7218" w:type="dxa"/>
            <w:tcBorders>
              <w:top w:val="single" w:sz="4" w:space="0" w:color="auto"/>
              <w:bottom w:val="single" w:sz="4" w:space="0" w:color="auto"/>
            </w:tcBorders>
            <w:vAlign w:val="bottom"/>
          </w:tcPr>
          <w:p w:rsidR="003169DC" w:rsidRPr="002A3FB5" w:rsidRDefault="00D710C8" w:rsidP="00604CDA">
            <w:pPr>
              <w:rPr>
                <w:szCs w:val="24"/>
              </w:rPr>
            </w:pPr>
            <w:r>
              <w:rPr>
                <w:szCs w:val="24"/>
              </w:rPr>
              <w:t>C.1</w:t>
            </w:r>
          </w:p>
        </w:tc>
      </w:tr>
      <w:tr w:rsidR="003169DC">
        <w:trPr>
          <w:trHeight w:val="504"/>
        </w:trPr>
        <w:tc>
          <w:tcPr>
            <w:tcW w:w="2448" w:type="dxa"/>
            <w:tcBorders>
              <w:top w:val="nil"/>
              <w:bottom w:val="nil"/>
            </w:tcBorders>
            <w:vAlign w:val="bottom"/>
          </w:tcPr>
          <w:p w:rsidR="003169DC" w:rsidRPr="002A3FB5" w:rsidRDefault="0078326A" w:rsidP="00604CDA">
            <w:pPr>
              <w:pStyle w:val="Header"/>
              <w:tabs>
                <w:tab w:val="clear" w:pos="4320"/>
                <w:tab w:val="clear" w:pos="8640"/>
              </w:tabs>
              <w:jc w:val="right"/>
              <w:rPr>
                <w:rFonts w:cs="Arial"/>
                <w:szCs w:val="24"/>
              </w:rPr>
            </w:pPr>
            <w:r>
              <w:rPr>
                <w:rFonts w:cs="Arial"/>
                <w:szCs w:val="24"/>
              </w:rPr>
              <w:t>Status</w:t>
            </w:r>
          </w:p>
        </w:tc>
        <w:tc>
          <w:tcPr>
            <w:tcW w:w="7218" w:type="dxa"/>
            <w:tcBorders>
              <w:top w:val="single" w:sz="4" w:space="0" w:color="auto"/>
              <w:bottom w:val="single" w:sz="4" w:space="0" w:color="auto"/>
            </w:tcBorders>
            <w:vAlign w:val="bottom"/>
          </w:tcPr>
          <w:p w:rsidR="003169DC" w:rsidRPr="002A3FB5" w:rsidRDefault="004F51D7" w:rsidP="00604CDA">
            <w:pPr>
              <w:rPr>
                <w:szCs w:val="24"/>
              </w:rPr>
            </w:pPr>
            <w:r w:rsidRPr="00572A46">
              <w:rPr>
                <w:szCs w:val="24"/>
              </w:rPr>
              <w:t>Decision</w:t>
            </w:r>
          </w:p>
        </w:tc>
      </w:tr>
      <w:tr w:rsidR="003169DC">
        <w:trPr>
          <w:trHeight w:val="504"/>
        </w:trPr>
        <w:tc>
          <w:tcPr>
            <w:tcW w:w="2448" w:type="dxa"/>
            <w:tcBorders>
              <w:bottom w:val="nil"/>
            </w:tcBorders>
            <w:vAlign w:val="bottom"/>
          </w:tcPr>
          <w:p w:rsidR="003169DC" w:rsidRPr="002A3FB5" w:rsidRDefault="0078326A" w:rsidP="00604CDA">
            <w:pPr>
              <w:jc w:val="right"/>
              <w:rPr>
                <w:rFonts w:cs="Arial"/>
                <w:szCs w:val="24"/>
              </w:rPr>
            </w:pPr>
            <w:r>
              <w:rPr>
                <w:rFonts w:cs="Arial"/>
                <w:szCs w:val="24"/>
              </w:rPr>
              <w:t>Appendices</w:t>
            </w:r>
          </w:p>
        </w:tc>
        <w:tc>
          <w:tcPr>
            <w:tcW w:w="7218" w:type="dxa"/>
            <w:tcBorders>
              <w:top w:val="single" w:sz="4" w:space="0" w:color="auto"/>
              <w:bottom w:val="single" w:sz="4" w:space="0" w:color="auto"/>
            </w:tcBorders>
            <w:vAlign w:val="bottom"/>
          </w:tcPr>
          <w:p w:rsidR="003169DC" w:rsidRPr="002A3FB5" w:rsidRDefault="00572A46" w:rsidP="00572A46">
            <w:pPr>
              <w:rPr>
                <w:szCs w:val="24"/>
              </w:rPr>
            </w:pPr>
            <w:r>
              <w:rPr>
                <w:szCs w:val="24"/>
              </w:rPr>
              <w:t>2</w:t>
            </w:r>
          </w:p>
        </w:tc>
      </w:tr>
      <w:tr w:rsidR="003169DC">
        <w:trPr>
          <w:trHeight w:val="504"/>
        </w:trPr>
        <w:tc>
          <w:tcPr>
            <w:tcW w:w="2448" w:type="dxa"/>
            <w:tcBorders>
              <w:bottom w:val="single" w:sz="8" w:space="0" w:color="auto"/>
            </w:tcBorders>
            <w:vAlign w:val="center"/>
          </w:tcPr>
          <w:p w:rsidR="003169DC" w:rsidRDefault="003169DC" w:rsidP="00604CDA">
            <w:pPr>
              <w:rPr>
                <w:rFonts w:cs="Arial"/>
              </w:rPr>
            </w:pPr>
          </w:p>
          <w:p w:rsidR="003169DC" w:rsidRDefault="003169DC" w:rsidP="00604CDA">
            <w:pPr>
              <w:rPr>
                <w:rFonts w:cs="Arial"/>
              </w:rPr>
            </w:pPr>
          </w:p>
        </w:tc>
        <w:tc>
          <w:tcPr>
            <w:tcW w:w="7218" w:type="dxa"/>
            <w:tcBorders>
              <w:top w:val="single" w:sz="4" w:space="0" w:color="auto"/>
              <w:bottom w:val="single" w:sz="8" w:space="0" w:color="auto"/>
            </w:tcBorders>
            <w:vAlign w:val="center"/>
          </w:tcPr>
          <w:p w:rsidR="003169DC" w:rsidRPr="00654316" w:rsidRDefault="003169DC" w:rsidP="00604CDA">
            <w:pPr>
              <w:rPr>
                <w:sz w:val="20"/>
              </w:rPr>
            </w:pPr>
          </w:p>
        </w:tc>
      </w:tr>
    </w:tbl>
    <w:p w:rsidR="005B2242" w:rsidRDefault="005B2242" w:rsidP="005B2242">
      <w:pPr>
        <w:pStyle w:val="Heading3"/>
        <w:tabs>
          <w:tab w:val="left" w:pos="2775"/>
        </w:tabs>
        <w:spacing w:before="0" w:after="0"/>
      </w:pPr>
    </w:p>
    <w:p w:rsidR="008169AE" w:rsidRDefault="008169AE" w:rsidP="005B2242">
      <w:pPr>
        <w:pStyle w:val="Heading3"/>
        <w:tabs>
          <w:tab w:val="left" w:pos="2775"/>
        </w:tabs>
        <w:spacing w:before="0" w:after="0"/>
      </w:pPr>
      <w:r>
        <w:t>Issue</w:t>
      </w:r>
    </w:p>
    <w:p w:rsidR="002539A8" w:rsidRDefault="002539A8" w:rsidP="005B2242">
      <w:pPr>
        <w:tabs>
          <w:tab w:val="left" w:pos="1140"/>
        </w:tabs>
      </w:pPr>
    </w:p>
    <w:p w:rsidR="002539A8" w:rsidRPr="00136990" w:rsidRDefault="002539A8" w:rsidP="005B2242">
      <w:pPr>
        <w:rPr>
          <w:szCs w:val="22"/>
        </w:rPr>
      </w:pPr>
      <w:proofErr w:type="gramStart"/>
      <w:r>
        <w:rPr>
          <w:szCs w:val="22"/>
        </w:rPr>
        <w:t>Approval of</w:t>
      </w:r>
      <w:r w:rsidRPr="00136990">
        <w:rPr>
          <w:szCs w:val="22"/>
        </w:rPr>
        <w:t xml:space="preserve"> the proposal </w:t>
      </w:r>
      <w:r>
        <w:rPr>
          <w:szCs w:val="22"/>
        </w:rPr>
        <w:t>for mandate renewal of the P</w:t>
      </w:r>
      <w:r w:rsidRPr="00136990">
        <w:rPr>
          <w:szCs w:val="22"/>
        </w:rPr>
        <w:t>an-Canadian Joint Consortium for School Health</w:t>
      </w:r>
      <w:r>
        <w:rPr>
          <w:szCs w:val="22"/>
        </w:rPr>
        <w:t xml:space="preserve"> (JCSH).</w:t>
      </w:r>
      <w:proofErr w:type="gramEnd"/>
      <w:r w:rsidRPr="00136990">
        <w:rPr>
          <w:szCs w:val="22"/>
        </w:rPr>
        <w:t xml:space="preserve"> </w:t>
      </w:r>
    </w:p>
    <w:p w:rsidR="002539A8" w:rsidRDefault="002539A8" w:rsidP="005B2242">
      <w:pPr>
        <w:pStyle w:val="Heading3"/>
        <w:tabs>
          <w:tab w:val="left" w:pos="2775"/>
        </w:tabs>
        <w:spacing w:before="0" w:after="0"/>
      </w:pPr>
    </w:p>
    <w:p w:rsidR="00604CDA" w:rsidRDefault="00604CDA" w:rsidP="005B2242">
      <w:pPr>
        <w:pStyle w:val="Heading3"/>
        <w:tabs>
          <w:tab w:val="left" w:pos="2775"/>
        </w:tabs>
        <w:spacing w:before="0" w:after="0"/>
      </w:pPr>
      <w:r w:rsidRPr="000D22FB">
        <w:t>Background</w:t>
      </w:r>
    </w:p>
    <w:p w:rsidR="000D22FB" w:rsidRDefault="000D22FB" w:rsidP="005B2242">
      <w:pPr>
        <w:tabs>
          <w:tab w:val="left" w:pos="1140"/>
        </w:tabs>
      </w:pPr>
    </w:p>
    <w:p w:rsidR="002539A8" w:rsidRPr="00136990" w:rsidRDefault="002539A8" w:rsidP="005B2242">
      <w:pPr>
        <w:rPr>
          <w:szCs w:val="22"/>
        </w:rPr>
      </w:pPr>
      <w:r>
        <w:rPr>
          <w:szCs w:val="22"/>
        </w:rPr>
        <w:t>JCSH was</w:t>
      </w:r>
      <w:r w:rsidRPr="00136990">
        <w:rPr>
          <w:szCs w:val="22"/>
        </w:rPr>
        <w:t xml:space="preserve"> established in 2005 by </w:t>
      </w:r>
      <w:r>
        <w:rPr>
          <w:szCs w:val="22"/>
        </w:rPr>
        <w:t>CMEC</w:t>
      </w:r>
      <w:r w:rsidRPr="00136990">
        <w:rPr>
          <w:szCs w:val="22"/>
        </w:rPr>
        <w:t xml:space="preserve"> and </w:t>
      </w:r>
      <w:r>
        <w:rPr>
          <w:szCs w:val="22"/>
        </w:rPr>
        <w:t xml:space="preserve">the </w:t>
      </w:r>
      <w:r w:rsidRPr="00136990">
        <w:rPr>
          <w:szCs w:val="22"/>
        </w:rPr>
        <w:t>Conference of Ministers of Health to facilitate a comprehensive and coordinated approach to health promotion in the school setting. Its purpose is to facilitate the integration of the health and education sectors to better accomplish mutual goals and support shared mandates for the promotion of the health</w:t>
      </w:r>
      <w:r>
        <w:rPr>
          <w:szCs w:val="22"/>
        </w:rPr>
        <w:t xml:space="preserve"> and learning</w:t>
      </w:r>
      <w:r w:rsidRPr="00136990">
        <w:rPr>
          <w:szCs w:val="22"/>
        </w:rPr>
        <w:t xml:space="preserve"> of children and youth in Canadian schools. </w:t>
      </w:r>
    </w:p>
    <w:p w:rsidR="002539A8" w:rsidRPr="00136990" w:rsidRDefault="002539A8" w:rsidP="005B2242">
      <w:pPr>
        <w:rPr>
          <w:szCs w:val="22"/>
        </w:rPr>
      </w:pPr>
    </w:p>
    <w:p w:rsidR="002539A8" w:rsidRDefault="002539A8" w:rsidP="005B2242">
      <w:pPr>
        <w:rPr>
          <w:szCs w:val="22"/>
          <w:highlight w:val="yellow"/>
        </w:rPr>
      </w:pPr>
      <w:r w:rsidRPr="00136990">
        <w:rPr>
          <w:szCs w:val="22"/>
        </w:rPr>
        <w:t>JCSH comprises senior representatives fr</w:t>
      </w:r>
      <w:r>
        <w:rPr>
          <w:szCs w:val="22"/>
        </w:rPr>
        <w:t xml:space="preserve">om 12 provinces and territories. </w:t>
      </w:r>
      <w:r w:rsidRPr="008337EC">
        <w:rPr>
          <w:szCs w:val="22"/>
        </w:rPr>
        <w:t xml:space="preserve">The federal government also supports the work of the Consortium, with the Public Health Agency of Canada serving in a funding and advisory capacity. </w:t>
      </w:r>
      <w:r>
        <w:rPr>
          <w:szCs w:val="22"/>
        </w:rPr>
        <w:t>A</w:t>
      </w:r>
      <w:r w:rsidRPr="008337EC">
        <w:rPr>
          <w:szCs w:val="22"/>
        </w:rPr>
        <w:t>lthough Quebec shares the concerns and objectives of the JCSH and contribute</w:t>
      </w:r>
      <w:r>
        <w:rPr>
          <w:szCs w:val="22"/>
        </w:rPr>
        <w:t>s</w:t>
      </w:r>
      <w:r w:rsidRPr="008337EC">
        <w:rPr>
          <w:szCs w:val="22"/>
        </w:rPr>
        <w:t xml:space="preserve"> by sharing information and leveraging best practices, Quebec intends to remain solely responsible for responding to school health needs within its territory.</w:t>
      </w:r>
      <w:r w:rsidRPr="008337EC">
        <w:rPr>
          <w:szCs w:val="22"/>
          <w:highlight w:val="yellow"/>
        </w:rPr>
        <w:t xml:space="preserve"> </w:t>
      </w:r>
    </w:p>
    <w:p w:rsidR="002539A8" w:rsidRPr="00572A46" w:rsidRDefault="002539A8" w:rsidP="005B2242">
      <w:pPr>
        <w:rPr>
          <w:szCs w:val="22"/>
        </w:rPr>
      </w:pPr>
    </w:p>
    <w:p w:rsidR="002539A8" w:rsidRPr="00572A46" w:rsidRDefault="002539A8" w:rsidP="005B2242">
      <w:pPr>
        <w:widowControl w:val="0"/>
        <w:autoSpaceDE w:val="0"/>
        <w:autoSpaceDN w:val="0"/>
        <w:adjustRightInd w:val="0"/>
        <w:rPr>
          <w:szCs w:val="22"/>
        </w:rPr>
      </w:pPr>
      <w:r w:rsidRPr="00572A46">
        <w:rPr>
          <w:szCs w:val="24"/>
        </w:rPr>
        <w:t>The JCSH received a second five-year mandate from the Deputy Ministers of Education on September 03, 2009, and from Deputy Ministers of Health/Health Promotion on June 19, 2009. Prince Edward Island is currently serving as the lead jurisdiction and host of the JCSH Secretariat</w:t>
      </w:r>
      <w:r w:rsidR="00572A46" w:rsidRPr="00572A46">
        <w:rPr>
          <w:szCs w:val="24"/>
        </w:rPr>
        <w:t>.</w:t>
      </w:r>
      <w:r w:rsidRPr="00572A46">
        <w:rPr>
          <w:szCs w:val="24"/>
        </w:rPr>
        <w:t xml:space="preserve"> The current mandate expires on March 31, 2015. </w:t>
      </w:r>
    </w:p>
    <w:p w:rsidR="002539A8" w:rsidRPr="00572A46" w:rsidRDefault="002539A8" w:rsidP="005B2242">
      <w:pPr>
        <w:rPr>
          <w:szCs w:val="22"/>
        </w:rPr>
      </w:pPr>
    </w:p>
    <w:p w:rsidR="002539A8" w:rsidRPr="00572A46" w:rsidRDefault="002539A8" w:rsidP="005B2242">
      <w:pPr>
        <w:rPr>
          <w:szCs w:val="22"/>
        </w:rPr>
      </w:pPr>
      <w:r w:rsidRPr="00572A46">
        <w:rPr>
          <w:szCs w:val="22"/>
        </w:rPr>
        <w:t>JCSH has proven to be a successful model for effective cross-sector work and has generated interest from other sectors, organizations, and jurisdictions (see evaluation summary included in Appendix I).</w:t>
      </w:r>
    </w:p>
    <w:p w:rsidR="002539A8" w:rsidRPr="00572A46" w:rsidRDefault="002539A8" w:rsidP="005B2242">
      <w:pPr>
        <w:rPr>
          <w:szCs w:val="22"/>
        </w:rPr>
      </w:pPr>
    </w:p>
    <w:p w:rsidR="002539A8" w:rsidRPr="00136990" w:rsidRDefault="002539A8" w:rsidP="005B2242">
      <w:pPr>
        <w:rPr>
          <w:szCs w:val="22"/>
        </w:rPr>
      </w:pPr>
      <w:r w:rsidRPr="00572A46">
        <w:rPr>
          <w:szCs w:val="22"/>
        </w:rPr>
        <w:lastRenderedPageBreak/>
        <w:t xml:space="preserve">The attached mandate renewal proposal (Appendix II) is based on the understanding that the current member provinces and territories and the Public </w:t>
      </w:r>
      <w:r w:rsidRPr="00482710">
        <w:rPr>
          <w:szCs w:val="22"/>
        </w:rPr>
        <w:t xml:space="preserve">Health Agency of Canada </w:t>
      </w:r>
      <w:r w:rsidR="00572A46" w:rsidRPr="00482710">
        <w:rPr>
          <w:szCs w:val="22"/>
        </w:rPr>
        <w:t>are interested in continuing to</w:t>
      </w:r>
      <w:r w:rsidRPr="00482710">
        <w:rPr>
          <w:szCs w:val="22"/>
        </w:rPr>
        <w:t xml:space="preserve"> support this unique model of working together.</w:t>
      </w:r>
      <w:r w:rsidRPr="00136990">
        <w:rPr>
          <w:szCs w:val="22"/>
        </w:rPr>
        <w:t xml:space="preserve"> </w:t>
      </w:r>
    </w:p>
    <w:p w:rsidR="002539A8" w:rsidRPr="00136990" w:rsidRDefault="002539A8" w:rsidP="005B2242">
      <w:pPr>
        <w:rPr>
          <w:szCs w:val="22"/>
        </w:rPr>
      </w:pPr>
    </w:p>
    <w:p w:rsidR="002539A8" w:rsidRPr="00136990" w:rsidRDefault="002539A8" w:rsidP="005B2242">
      <w:pPr>
        <w:rPr>
          <w:szCs w:val="22"/>
        </w:rPr>
      </w:pPr>
      <w:r w:rsidRPr="00136990">
        <w:rPr>
          <w:szCs w:val="22"/>
        </w:rPr>
        <w:t>De</w:t>
      </w:r>
      <w:r>
        <w:rPr>
          <w:szCs w:val="22"/>
        </w:rPr>
        <w:t xml:space="preserve">puty ministers of health and deputy ministers of education </w:t>
      </w:r>
      <w:r w:rsidRPr="00136990">
        <w:rPr>
          <w:szCs w:val="22"/>
        </w:rPr>
        <w:t xml:space="preserve">in each participating province and </w:t>
      </w:r>
      <w:r w:rsidRPr="00482710">
        <w:rPr>
          <w:szCs w:val="22"/>
        </w:rPr>
        <w:t xml:space="preserve">territory </w:t>
      </w:r>
      <w:r w:rsidR="00572A46" w:rsidRPr="00482710">
        <w:rPr>
          <w:szCs w:val="22"/>
        </w:rPr>
        <w:t>will</w:t>
      </w:r>
      <w:r w:rsidRPr="00482710">
        <w:rPr>
          <w:szCs w:val="22"/>
        </w:rPr>
        <w:t xml:space="preserve"> be asked to sign </w:t>
      </w:r>
      <w:r w:rsidR="00572A46" w:rsidRPr="00482710">
        <w:rPr>
          <w:szCs w:val="22"/>
        </w:rPr>
        <w:t>a new proposed a</w:t>
      </w:r>
      <w:r w:rsidRPr="00482710">
        <w:rPr>
          <w:szCs w:val="22"/>
        </w:rPr>
        <w:t>greement</w:t>
      </w:r>
      <w:r w:rsidR="004F51D7" w:rsidRPr="00482710">
        <w:rPr>
          <w:szCs w:val="22"/>
        </w:rPr>
        <w:t xml:space="preserve"> </w:t>
      </w:r>
      <w:r w:rsidR="00572A46" w:rsidRPr="00482710">
        <w:rPr>
          <w:szCs w:val="22"/>
        </w:rPr>
        <w:t>indicating their support for this continued work (per the established signature process).</w:t>
      </w:r>
      <w:r w:rsidRPr="00482710">
        <w:rPr>
          <w:szCs w:val="22"/>
        </w:rPr>
        <w:t xml:space="preserve"> Renewal represents</w:t>
      </w:r>
      <w:r w:rsidRPr="00572A46">
        <w:rPr>
          <w:szCs w:val="22"/>
        </w:rPr>
        <w:t xml:space="preserve"> an opportunity to demonstrate ongoing commitment to this unique</w:t>
      </w:r>
      <w:r w:rsidRPr="00136990">
        <w:rPr>
          <w:szCs w:val="22"/>
        </w:rPr>
        <w:t xml:space="preserve"> and successful model of cross-sector collaboration.</w:t>
      </w:r>
    </w:p>
    <w:p w:rsidR="002539A8" w:rsidRPr="00136990" w:rsidRDefault="002539A8" w:rsidP="005B2242">
      <w:pPr>
        <w:rPr>
          <w:szCs w:val="22"/>
        </w:rPr>
      </w:pPr>
    </w:p>
    <w:p w:rsidR="002539A8" w:rsidRDefault="002539A8" w:rsidP="005B2242">
      <w:pPr>
        <w:rPr>
          <w:szCs w:val="22"/>
        </w:rPr>
      </w:pPr>
      <w:r w:rsidRPr="00482710">
        <w:rPr>
          <w:szCs w:val="22"/>
        </w:rPr>
        <w:t>The Conference of Deputy Ministers of Health was provided an update on the JCSH on May 29</w:t>
      </w:r>
      <w:r w:rsidRPr="00482710">
        <w:rPr>
          <w:szCs w:val="22"/>
          <w:vertAlign w:val="superscript"/>
        </w:rPr>
        <w:t>th</w:t>
      </w:r>
      <w:r w:rsidRPr="00482710">
        <w:rPr>
          <w:szCs w:val="22"/>
        </w:rPr>
        <w:t>, 2014 and will be provided with the JCSH proposal for mandate renewal in advance of the upcoming Health Ministers Meeting, scheduled for September 30</w:t>
      </w:r>
      <w:r w:rsidR="00482710">
        <w:rPr>
          <w:szCs w:val="22"/>
        </w:rPr>
        <w:t xml:space="preserve"> </w:t>
      </w:r>
      <w:r w:rsidRPr="00482710">
        <w:rPr>
          <w:szCs w:val="22"/>
        </w:rPr>
        <w:t>-</w:t>
      </w:r>
      <w:r w:rsidR="00482710">
        <w:rPr>
          <w:szCs w:val="22"/>
        </w:rPr>
        <w:t xml:space="preserve"> </w:t>
      </w:r>
      <w:r w:rsidRPr="00482710">
        <w:rPr>
          <w:szCs w:val="22"/>
        </w:rPr>
        <w:t xml:space="preserve">October 1, 2014.  </w:t>
      </w:r>
    </w:p>
    <w:p w:rsidR="00491ECC" w:rsidRPr="00491ECC" w:rsidRDefault="00491ECC" w:rsidP="005B2242">
      <w:pPr>
        <w:rPr>
          <w:szCs w:val="22"/>
        </w:rPr>
      </w:pPr>
      <w:bookmarkStart w:id="0" w:name="_GoBack"/>
      <w:bookmarkEnd w:id="0"/>
    </w:p>
    <w:p w:rsidR="00604CDA" w:rsidRDefault="00604CDA" w:rsidP="005B2242">
      <w:pPr>
        <w:pStyle w:val="Heading3"/>
        <w:spacing w:before="0" w:after="0"/>
      </w:pPr>
      <w:r w:rsidRPr="000D22FB">
        <w:t>Recommendation</w:t>
      </w:r>
    </w:p>
    <w:p w:rsidR="000D22FB" w:rsidRDefault="000D22FB" w:rsidP="005B2242"/>
    <w:p w:rsidR="002539A8" w:rsidRDefault="002539A8" w:rsidP="005B2242">
      <w:pPr>
        <w:rPr>
          <w:szCs w:val="22"/>
        </w:rPr>
      </w:pPr>
      <w:proofErr w:type="gramStart"/>
      <w:r>
        <w:rPr>
          <w:szCs w:val="22"/>
        </w:rPr>
        <w:t>That members</w:t>
      </w:r>
      <w:proofErr w:type="gramEnd"/>
      <w:r>
        <w:rPr>
          <w:szCs w:val="22"/>
        </w:rPr>
        <w:t xml:space="preserve"> of ACDME</w:t>
      </w:r>
    </w:p>
    <w:p w:rsidR="002539A8" w:rsidRDefault="002539A8" w:rsidP="005B2242">
      <w:pPr>
        <w:rPr>
          <w:szCs w:val="22"/>
        </w:rPr>
      </w:pPr>
    </w:p>
    <w:p w:rsidR="002539A8" w:rsidRPr="002B48B8" w:rsidRDefault="002539A8" w:rsidP="005B2242">
      <w:pPr>
        <w:numPr>
          <w:ilvl w:val="0"/>
          <w:numId w:val="12"/>
        </w:numPr>
        <w:rPr>
          <w:szCs w:val="22"/>
        </w:rPr>
      </w:pPr>
      <w:proofErr w:type="gramStart"/>
      <w:r w:rsidRPr="002B48B8">
        <w:t>approve</w:t>
      </w:r>
      <w:proofErr w:type="gramEnd"/>
      <w:r w:rsidRPr="002B48B8">
        <w:t xml:space="preserve"> the JCSH </w:t>
      </w:r>
      <w:r>
        <w:t>mandate renewal proposal.</w:t>
      </w:r>
    </w:p>
    <w:p w:rsidR="007241D2" w:rsidRPr="00B301C4" w:rsidRDefault="007241D2">
      <w:pPr>
        <w:pStyle w:val="Header"/>
        <w:tabs>
          <w:tab w:val="clear" w:pos="4320"/>
          <w:tab w:val="clear" w:pos="8640"/>
        </w:tabs>
      </w:pPr>
    </w:p>
    <w:sectPr w:rsidR="007241D2" w:rsidRPr="00B301C4" w:rsidSect="003169DC">
      <w:headerReference w:type="default" r:id="rId7"/>
      <w:footerReference w:type="even" r:id="rId8"/>
      <w:footerReference w:type="default" r:id="rId9"/>
      <w:headerReference w:type="first" r:id="rId10"/>
      <w:pgSz w:w="12240" w:h="15840"/>
      <w:pgMar w:top="1987" w:right="1440" w:bottom="1440" w:left="1440" w:header="360" w:footer="3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E83" w:rsidRDefault="00002E83">
      <w:r>
        <w:separator/>
      </w:r>
    </w:p>
  </w:endnote>
  <w:endnote w:type="continuationSeparator" w:id="0">
    <w:p w:rsidR="00002E83" w:rsidRDefault="00002E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15" w:rsidRDefault="00CD4FB5" w:rsidP="00AD31C1">
    <w:pPr>
      <w:pStyle w:val="Footer"/>
      <w:framePr w:wrap="around" w:vAnchor="text" w:hAnchor="margin" w:xAlign="right" w:y="1"/>
      <w:rPr>
        <w:rStyle w:val="PageNumber"/>
      </w:rPr>
    </w:pPr>
    <w:r>
      <w:rPr>
        <w:rStyle w:val="PageNumber"/>
      </w:rPr>
      <w:fldChar w:fldCharType="begin"/>
    </w:r>
    <w:r w:rsidR="003A5115">
      <w:rPr>
        <w:rStyle w:val="PageNumber"/>
      </w:rPr>
      <w:instrText xml:space="preserve">PAGE  </w:instrText>
    </w:r>
    <w:r>
      <w:rPr>
        <w:rStyle w:val="PageNumber"/>
      </w:rPr>
      <w:fldChar w:fldCharType="end"/>
    </w:r>
  </w:p>
  <w:p w:rsidR="003A5115" w:rsidRDefault="003A5115" w:rsidP="004544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15" w:rsidRPr="004544CF" w:rsidRDefault="00CD4FB5" w:rsidP="00AD31C1">
    <w:pPr>
      <w:pStyle w:val="Footer"/>
      <w:framePr w:wrap="around" w:vAnchor="text" w:hAnchor="margin" w:xAlign="right" w:y="1"/>
      <w:rPr>
        <w:rStyle w:val="PageNumber"/>
        <w:sz w:val="20"/>
      </w:rPr>
    </w:pPr>
    <w:r w:rsidRPr="004544CF">
      <w:rPr>
        <w:rStyle w:val="PageNumber"/>
        <w:sz w:val="20"/>
      </w:rPr>
      <w:fldChar w:fldCharType="begin"/>
    </w:r>
    <w:r w:rsidR="003A5115" w:rsidRPr="004544CF">
      <w:rPr>
        <w:rStyle w:val="PageNumber"/>
        <w:sz w:val="20"/>
      </w:rPr>
      <w:instrText xml:space="preserve">PAGE  </w:instrText>
    </w:r>
    <w:r w:rsidRPr="004544CF">
      <w:rPr>
        <w:rStyle w:val="PageNumber"/>
        <w:sz w:val="20"/>
      </w:rPr>
      <w:fldChar w:fldCharType="separate"/>
    </w:r>
    <w:r w:rsidR="009135E3">
      <w:rPr>
        <w:rStyle w:val="PageNumber"/>
        <w:noProof/>
        <w:sz w:val="20"/>
      </w:rPr>
      <w:t>2</w:t>
    </w:r>
    <w:r w:rsidRPr="004544CF">
      <w:rPr>
        <w:rStyle w:val="PageNumber"/>
        <w:sz w:val="20"/>
      </w:rPr>
      <w:fldChar w:fldCharType="end"/>
    </w:r>
  </w:p>
  <w:p w:rsidR="003A5115" w:rsidRDefault="003A5115" w:rsidP="004544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E83" w:rsidRDefault="00002E83">
      <w:r>
        <w:separator/>
      </w:r>
    </w:p>
  </w:footnote>
  <w:footnote w:type="continuationSeparator" w:id="0">
    <w:p w:rsidR="00002E83" w:rsidRDefault="00002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15" w:rsidRDefault="003A5115">
    <w:pPr>
      <w:pStyle w:val="Header"/>
      <w:jc w:val="right"/>
    </w:pPr>
  </w:p>
  <w:p w:rsidR="003A5115" w:rsidRDefault="003A5115">
    <w:pPr>
      <w:pStyle w:val="Header"/>
      <w:jc w:val="right"/>
    </w:pPr>
  </w:p>
  <w:p w:rsidR="003A5115" w:rsidRDefault="003A5115">
    <w:pPr>
      <w:pStyle w:val="Header"/>
      <w:jc w:val="right"/>
    </w:pPr>
  </w:p>
  <w:p w:rsidR="003A5115" w:rsidRDefault="003A51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15" w:rsidRDefault="0041516D" w:rsidP="008C0DD8">
    <w:pPr>
      <w:pStyle w:val="Header"/>
      <w:jc w:val="center"/>
    </w:pPr>
    <w:r>
      <w:rPr>
        <w:rFonts w:ascii="Arial" w:hAnsi="Arial"/>
        <w:b/>
        <w:noProof/>
        <w:spacing w:val="-15"/>
        <w:sz w:val="40"/>
        <w:szCs w:val="40"/>
        <w:lang w:val="en-CA" w:eastAsia="en-CA"/>
      </w:rPr>
      <w:drawing>
        <wp:anchor distT="0" distB="0" distL="114300" distR="114300" simplePos="0" relativeHeight="251657728" behindDoc="0" locked="0" layoutInCell="1" allowOverlap="1">
          <wp:simplePos x="0" y="0"/>
          <wp:positionH relativeFrom="column">
            <wp:posOffset>4722495</wp:posOffset>
          </wp:positionH>
          <wp:positionV relativeFrom="paragraph">
            <wp:posOffset>116840</wp:posOffset>
          </wp:positionV>
          <wp:extent cx="1609725" cy="733425"/>
          <wp:effectExtent l="0" t="0" r="9525" b="9525"/>
          <wp:wrapNone/>
          <wp:docPr id="24" name="Picture 24" descr="CMEC_logo_eng-f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MEC_logo_eng-fre_4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733425"/>
                  </a:xfrm>
                  <a:prstGeom prst="rect">
                    <a:avLst/>
                  </a:prstGeom>
                  <a:noFill/>
                  <a:ln>
                    <a:noFill/>
                  </a:ln>
                </pic:spPr>
              </pic:pic>
            </a:graphicData>
          </a:graphic>
        </wp:anchor>
      </w:drawing>
    </w:r>
  </w:p>
  <w:p w:rsidR="003A5115" w:rsidRDefault="003A5115" w:rsidP="007241D2">
    <w:pPr>
      <w:pStyle w:val="Header"/>
      <w:tabs>
        <w:tab w:val="left" w:pos="6581"/>
        <w:tab w:val="right" w:pos="9360"/>
      </w:tabs>
    </w:pPr>
    <w:r>
      <w:tab/>
    </w:r>
    <w:r>
      <w:tab/>
    </w:r>
    <w:r>
      <w:tab/>
    </w:r>
  </w:p>
  <w:p w:rsidR="003A5115" w:rsidRDefault="003A5115">
    <w:pPr>
      <w:pStyle w:val="Header"/>
      <w:jc w:val="right"/>
    </w:pPr>
  </w:p>
  <w:p w:rsidR="003A5115" w:rsidRPr="000F7F07" w:rsidRDefault="00A54E22">
    <w:pPr>
      <w:pStyle w:val="BasicParagraph"/>
      <w:rPr>
        <w:rFonts w:ascii="Arial" w:hAnsi="Arial"/>
        <w:b/>
        <w:spacing w:val="-15"/>
        <w:sz w:val="40"/>
        <w:szCs w:val="40"/>
      </w:rPr>
    </w:pPr>
    <w:r>
      <w:rPr>
        <w:rFonts w:ascii="Arial" w:hAnsi="Arial"/>
        <w:b/>
        <w:spacing w:val="-15"/>
        <w:sz w:val="40"/>
        <w:szCs w:val="40"/>
      </w:rPr>
      <w:t>10</w:t>
    </w:r>
    <w:r w:rsidR="00EF560E">
      <w:rPr>
        <w:rFonts w:ascii="Arial" w:hAnsi="Arial"/>
        <w:b/>
        <w:spacing w:val="-15"/>
        <w:sz w:val="40"/>
        <w:szCs w:val="40"/>
      </w:rPr>
      <w:t>4</w:t>
    </w:r>
    <w:r w:rsidR="00EF560E">
      <w:rPr>
        <w:rFonts w:ascii="Arial" w:hAnsi="Arial"/>
        <w:b/>
        <w:spacing w:val="-15"/>
        <w:sz w:val="40"/>
        <w:szCs w:val="40"/>
        <w:vertAlign w:val="superscript"/>
      </w:rPr>
      <w:t>th</w:t>
    </w:r>
    <w:r w:rsidR="00EF560E">
      <w:rPr>
        <w:rFonts w:ascii="Arial" w:hAnsi="Arial"/>
        <w:b/>
        <w:spacing w:val="-15"/>
        <w:sz w:val="40"/>
        <w:szCs w:val="40"/>
      </w:rPr>
      <w:t xml:space="preserve"> ACDME</w:t>
    </w:r>
    <w:r>
      <w:rPr>
        <w:rFonts w:ascii="Arial" w:hAnsi="Arial"/>
        <w:b/>
        <w:spacing w:val="-15"/>
        <w:sz w:val="40"/>
        <w:szCs w:val="40"/>
      </w:rPr>
      <w:t xml:space="preserve"> Meeting</w:t>
    </w:r>
    <w:r w:rsidR="003A5115">
      <w:rPr>
        <w:rFonts w:ascii="Arial" w:hAnsi="Arial"/>
        <w:b/>
        <w:spacing w:val="-15"/>
        <w:sz w:val="40"/>
        <w:szCs w:val="40"/>
      </w:rPr>
      <w:br/>
    </w:r>
    <w:r w:rsidR="00EF560E">
      <w:rPr>
        <w:rFonts w:ascii="Arial" w:hAnsi="Arial"/>
        <w:b/>
        <w:spacing w:val="-15"/>
        <w:szCs w:val="24"/>
      </w:rPr>
      <w:t>July 7</w:t>
    </w:r>
    <w:r w:rsidR="00251566">
      <w:rPr>
        <w:rFonts w:ascii="Arial" w:hAnsi="Arial"/>
        <w:b/>
        <w:spacing w:val="-15"/>
        <w:szCs w:val="24"/>
      </w:rPr>
      <w:t>, 201</w:t>
    </w:r>
    <w:r>
      <w:rPr>
        <w:rFonts w:ascii="Arial" w:hAnsi="Arial"/>
        <w:b/>
        <w:spacing w:val="-15"/>
        <w:szCs w:val="24"/>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B65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88C484"/>
    <w:lvl w:ilvl="0">
      <w:start w:val="1"/>
      <w:numFmt w:val="decimal"/>
      <w:lvlText w:val="%1."/>
      <w:lvlJc w:val="left"/>
      <w:pPr>
        <w:tabs>
          <w:tab w:val="num" w:pos="1492"/>
        </w:tabs>
        <w:ind w:left="1492" w:hanging="360"/>
      </w:pPr>
    </w:lvl>
  </w:abstractNum>
  <w:abstractNum w:abstractNumId="2">
    <w:nsid w:val="FFFFFF7D"/>
    <w:multiLevelType w:val="singleLevel"/>
    <w:tmpl w:val="884A1F86"/>
    <w:lvl w:ilvl="0">
      <w:start w:val="1"/>
      <w:numFmt w:val="decimal"/>
      <w:lvlText w:val="%1."/>
      <w:lvlJc w:val="left"/>
      <w:pPr>
        <w:tabs>
          <w:tab w:val="num" w:pos="1209"/>
        </w:tabs>
        <w:ind w:left="1209" w:hanging="360"/>
      </w:pPr>
    </w:lvl>
  </w:abstractNum>
  <w:abstractNum w:abstractNumId="3">
    <w:nsid w:val="FFFFFF7E"/>
    <w:multiLevelType w:val="singleLevel"/>
    <w:tmpl w:val="B40E1AF2"/>
    <w:lvl w:ilvl="0">
      <w:start w:val="1"/>
      <w:numFmt w:val="decimal"/>
      <w:lvlText w:val="%1."/>
      <w:lvlJc w:val="left"/>
      <w:pPr>
        <w:tabs>
          <w:tab w:val="num" w:pos="926"/>
        </w:tabs>
        <w:ind w:left="926" w:hanging="360"/>
      </w:pPr>
    </w:lvl>
  </w:abstractNum>
  <w:abstractNum w:abstractNumId="4">
    <w:nsid w:val="FFFFFF7F"/>
    <w:multiLevelType w:val="singleLevel"/>
    <w:tmpl w:val="2B4A2AB8"/>
    <w:lvl w:ilvl="0">
      <w:start w:val="1"/>
      <w:numFmt w:val="decimal"/>
      <w:lvlText w:val="%1."/>
      <w:lvlJc w:val="left"/>
      <w:pPr>
        <w:tabs>
          <w:tab w:val="num" w:pos="643"/>
        </w:tabs>
        <w:ind w:left="643" w:hanging="360"/>
      </w:pPr>
    </w:lvl>
  </w:abstractNum>
  <w:abstractNum w:abstractNumId="5">
    <w:nsid w:val="FFFFFF80"/>
    <w:multiLevelType w:val="singleLevel"/>
    <w:tmpl w:val="9CD4E5C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05824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5962CA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8DAA03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520F2F6"/>
    <w:lvl w:ilvl="0">
      <w:start w:val="1"/>
      <w:numFmt w:val="decimal"/>
      <w:lvlText w:val="%1."/>
      <w:lvlJc w:val="left"/>
      <w:pPr>
        <w:tabs>
          <w:tab w:val="num" w:pos="360"/>
        </w:tabs>
        <w:ind w:left="360" w:hanging="360"/>
      </w:pPr>
    </w:lvl>
  </w:abstractNum>
  <w:abstractNum w:abstractNumId="10">
    <w:nsid w:val="FFFFFF89"/>
    <w:multiLevelType w:val="singleLevel"/>
    <w:tmpl w:val="9B3CF3D2"/>
    <w:lvl w:ilvl="0">
      <w:start w:val="1"/>
      <w:numFmt w:val="bullet"/>
      <w:lvlText w:val=""/>
      <w:lvlJc w:val="left"/>
      <w:pPr>
        <w:tabs>
          <w:tab w:val="num" w:pos="360"/>
        </w:tabs>
        <w:ind w:left="360" w:hanging="360"/>
      </w:pPr>
      <w:rPr>
        <w:rFonts w:ascii="Symbol" w:hAnsi="Symbol" w:hint="default"/>
      </w:rPr>
    </w:lvl>
  </w:abstractNum>
  <w:abstractNum w:abstractNumId="11">
    <w:nsid w:val="3EA62BFA"/>
    <w:multiLevelType w:val="hybridMultilevel"/>
    <w:tmpl w:val="88DCE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0405D4"/>
    <w:rsid w:val="00002E83"/>
    <w:rsid w:val="000405D4"/>
    <w:rsid w:val="000425BC"/>
    <w:rsid w:val="00046EE0"/>
    <w:rsid w:val="000A4F94"/>
    <w:rsid w:val="000A615B"/>
    <w:rsid w:val="000D22FB"/>
    <w:rsid w:val="000D2640"/>
    <w:rsid w:val="000F7F07"/>
    <w:rsid w:val="00152FF0"/>
    <w:rsid w:val="0015651E"/>
    <w:rsid w:val="0019441F"/>
    <w:rsid w:val="001B0E3F"/>
    <w:rsid w:val="001E476A"/>
    <w:rsid w:val="001E633A"/>
    <w:rsid w:val="001F5DCC"/>
    <w:rsid w:val="00203E0A"/>
    <w:rsid w:val="00215707"/>
    <w:rsid w:val="00251566"/>
    <w:rsid w:val="002539A8"/>
    <w:rsid w:val="00281150"/>
    <w:rsid w:val="002A1046"/>
    <w:rsid w:val="002A3FB5"/>
    <w:rsid w:val="002B0D5D"/>
    <w:rsid w:val="002B1526"/>
    <w:rsid w:val="003169DC"/>
    <w:rsid w:val="00347F0B"/>
    <w:rsid w:val="00357BA3"/>
    <w:rsid w:val="003A0F1F"/>
    <w:rsid w:val="003A5115"/>
    <w:rsid w:val="003E1467"/>
    <w:rsid w:val="003E6E00"/>
    <w:rsid w:val="003F5722"/>
    <w:rsid w:val="0041516D"/>
    <w:rsid w:val="004361CA"/>
    <w:rsid w:val="004544CF"/>
    <w:rsid w:val="00473DFB"/>
    <w:rsid w:val="00482710"/>
    <w:rsid w:val="00491A3D"/>
    <w:rsid w:val="00491ECC"/>
    <w:rsid w:val="004B2C2C"/>
    <w:rsid w:val="004D3BE1"/>
    <w:rsid w:val="004F32F1"/>
    <w:rsid w:val="004F51D7"/>
    <w:rsid w:val="0057000D"/>
    <w:rsid w:val="00572A46"/>
    <w:rsid w:val="005B2242"/>
    <w:rsid w:val="005E2A41"/>
    <w:rsid w:val="00603384"/>
    <w:rsid w:val="00604CDA"/>
    <w:rsid w:val="006509F7"/>
    <w:rsid w:val="00654316"/>
    <w:rsid w:val="006C1346"/>
    <w:rsid w:val="007241D2"/>
    <w:rsid w:val="0078326A"/>
    <w:rsid w:val="007B634D"/>
    <w:rsid w:val="007D30B9"/>
    <w:rsid w:val="007D630A"/>
    <w:rsid w:val="007D753F"/>
    <w:rsid w:val="007F5AEC"/>
    <w:rsid w:val="00815741"/>
    <w:rsid w:val="008169AE"/>
    <w:rsid w:val="008330FF"/>
    <w:rsid w:val="00880232"/>
    <w:rsid w:val="00884230"/>
    <w:rsid w:val="008C0DD8"/>
    <w:rsid w:val="008C74E9"/>
    <w:rsid w:val="008F2DD8"/>
    <w:rsid w:val="008F4E6E"/>
    <w:rsid w:val="009135E3"/>
    <w:rsid w:val="00A05E5D"/>
    <w:rsid w:val="00A14F86"/>
    <w:rsid w:val="00A2477B"/>
    <w:rsid w:val="00A54E22"/>
    <w:rsid w:val="00AD31C1"/>
    <w:rsid w:val="00B42F7F"/>
    <w:rsid w:val="00B52E2A"/>
    <w:rsid w:val="00B60816"/>
    <w:rsid w:val="00B64D51"/>
    <w:rsid w:val="00B7610F"/>
    <w:rsid w:val="00BA13D2"/>
    <w:rsid w:val="00BB70EF"/>
    <w:rsid w:val="00C56490"/>
    <w:rsid w:val="00C7663E"/>
    <w:rsid w:val="00CD4FB5"/>
    <w:rsid w:val="00D10EC4"/>
    <w:rsid w:val="00D112CF"/>
    <w:rsid w:val="00D12FDC"/>
    <w:rsid w:val="00D57F5F"/>
    <w:rsid w:val="00D641D5"/>
    <w:rsid w:val="00D710C8"/>
    <w:rsid w:val="00E072F6"/>
    <w:rsid w:val="00E167E4"/>
    <w:rsid w:val="00E760A5"/>
    <w:rsid w:val="00ED6948"/>
    <w:rsid w:val="00EF560E"/>
    <w:rsid w:val="00F06DB0"/>
    <w:rsid w:val="00F118C1"/>
    <w:rsid w:val="00F11BF2"/>
    <w:rsid w:val="00F245C5"/>
    <w:rsid w:val="00F27B4A"/>
    <w:rsid w:val="00F35810"/>
    <w:rsid w:val="00F9200D"/>
    <w:rsid w:val="00FA2EFA"/>
    <w:rsid w:val="00FC2740"/>
    <w:rsid w:val="00FC3B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FA"/>
    <w:rPr>
      <w:rFonts w:ascii="Calibri" w:hAnsi="Calibri"/>
      <w:color w:val="000000"/>
      <w:sz w:val="24"/>
      <w:lang w:val="en-US" w:eastAsia="en-US"/>
    </w:rPr>
  </w:style>
  <w:style w:type="paragraph" w:styleId="Heading3">
    <w:name w:val="heading 3"/>
    <w:basedOn w:val="Normal"/>
    <w:next w:val="Normal"/>
    <w:qFormat/>
    <w:rsid w:val="00BB70E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CD4FB5"/>
    <w:pPr>
      <w:tabs>
        <w:tab w:val="center" w:pos="4320"/>
        <w:tab w:val="right" w:pos="8640"/>
      </w:tabs>
    </w:pPr>
  </w:style>
  <w:style w:type="character" w:customStyle="1" w:styleId="HeaderChar">
    <w:name w:val="Header Char"/>
    <w:rsid w:val="00CD4FB5"/>
    <w:rPr>
      <w:sz w:val="24"/>
      <w:szCs w:val="24"/>
    </w:rPr>
  </w:style>
  <w:style w:type="paragraph" w:styleId="Footer">
    <w:name w:val="footer"/>
    <w:basedOn w:val="Normal"/>
    <w:unhideWhenUsed/>
    <w:rsid w:val="00CD4FB5"/>
    <w:pPr>
      <w:tabs>
        <w:tab w:val="center" w:pos="4320"/>
        <w:tab w:val="right" w:pos="8640"/>
      </w:tabs>
    </w:pPr>
  </w:style>
  <w:style w:type="character" w:customStyle="1" w:styleId="FooterChar">
    <w:name w:val="Footer Char"/>
    <w:semiHidden/>
    <w:rsid w:val="00CD4FB5"/>
    <w:rPr>
      <w:sz w:val="24"/>
      <w:szCs w:val="24"/>
    </w:rPr>
  </w:style>
  <w:style w:type="paragraph" w:customStyle="1" w:styleId="BasicParagraph">
    <w:name w:val="[Basic Paragraph]"/>
    <w:basedOn w:val="Normal"/>
    <w:rsid w:val="00CD4FB5"/>
    <w:pPr>
      <w:widowControl w:val="0"/>
      <w:autoSpaceDE w:val="0"/>
      <w:autoSpaceDN w:val="0"/>
      <w:adjustRightInd w:val="0"/>
      <w:spacing w:line="288" w:lineRule="auto"/>
      <w:textAlignment w:val="center"/>
    </w:pPr>
    <w:rPr>
      <w:rFonts w:ascii="Times-Roman" w:hAnsi="Times-Roman" w:cs="Wingdings"/>
    </w:rPr>
  </w:style>
  <w:style w:type="paragraph" w:customStyle="1" w:styleId="NoParagraphStyle">
    <w:name w:val="[No Paragraph Style]"/>
    <w:rsid w:val="00CD4FB5"/>
    <w:pPr>
      <w:widowControl w:val="0"/>
      <w:autoSpaceDE w:val="0"/>
      <w:autoSpaceDN w:val="0"/>
      <w:adjustRightInd w:val="0"/>
      <w:spacing w:line="288" w:lineRule="auto"/>
      <w:textAlignment w:val="center"/>
    </w:pPr>
    <w:rPr>
      <w:rFonts w:ascii="Times-Roman" w:hAnsi="Times-Roman" w:cs="Wingdings"/>
      <w:color w:val="000000"/>
      <w:sz w:val="24"/>
      <w:szCs w:val="24"/>
      <w:lang w:val="en-US" w:eastAsia="en-US"/>
    </w:rPr>
  </w:style>
  <w:style w:type="character" w:styleId="PageNumber">
    <w:name w:val="page number"/>
    <w:basedOn w:val="DefaultParagraphFont"/>
    <w:rsid w:val="00CD4FB5"/>
  </w:style>
  <w:style w:type="table" w:styleId="TableGrid">
    <w:name w:val="Table Grid"/>
    <w:basedOn w:val="TableNormal"/>
    <w:rsid w:val="00BB7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1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FA"/>
    <w:rPr>
      <w:rFonts w:ascii="Calibri" w:hAnsi="Calibri"/>
      <w:color w:val="000000"/>
      <w:sz w:val="24"/>
      <w:lang w:val="en-US" w:eastAsia="en-US"/>
    </w:rPr>
  </w:style>
  <w:style w:type="paragraph" w:styleId="Heading3">
    <w:name w:val="heading 3"/>
    <w:basedOn w:val="Normal"/>
    <w:next w:val="Normal"/>
    <w:qFormat/>
    <w:rsid w:val="00BB70E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pPr>
  </w:style>
  <w:style w:type="character" w:customStyle="1" w:styleId="HeaderChar">
    <w:name w:val="Header Char"/>
    <w:rPr>
      <w:sz w:val="24"/>
      <w:szCs w:val="24"/>
    </w:rPr>
  </w:style>
  <w:style w:type="paragraph" w:styleId="Footer">
    <w:name w:val="footer"/>
    <w:basedOn w:val="Normal"/>
    <w:unhideWhenUsed/>
    <w:pPr>
      <w:tabs>
        <w:tab w:val="center" w:pos="4320"/>
        <w:tab w:val="right" w:pos="8640"/>
      </w:tabs>
    </w:pPr>
  </w:style>
  <w:style w:type="character" w:customStyle="1" w:styleId="FooterChar">
    <w:name w:val="Footer Char"/>
    <w:semiHidden/>
    <w:rPr>
      <w:sz w:val="24"/>
      <w:szCs w:val="24"/>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cs="Wingdings"/>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Wingdings"/>
      <w:color w:val="000000"/>
      <w:sz w:val="24"/>
      <w:szCs w:val="24"/>
      <w:lang w:val="en-US" w:eastAsia="en-US"/>
    </w:rPr>
  </w:style>
  <w:style w:type="character" w:styleId="PageNumber">
    <w:name w:val="page number"/>
    <w:basedOn w:val="DefaultParagraphFont"/>
  </w:style>
  <w:style w:type="table" w:styleId="TableGrid">
    <w:name w:val="Table Grid"/>
    <w:basedOn w:val="TableNormal"/>
    <w:rsid w:val="00BB7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1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395</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Topic:</vt:lpstr>
    </vt:vector>
  </TitlesOfParts>
  <Company>Cossette Communication group</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Ruby Chow</dc:creator>
  <cp:lastModifiedBy>sjhornby</cp:lastModifiedBy>
  <cp:revision>2</cp:revision>
  <cp:lastPrinted>2014-05-28T13:00:00Z</cp:lastPrinted>
  <dcterms:created xsi:type="dcterms:W3CDTF">2014-11-20T14:19:00Z</dcterms:created>
  <dcterms:modified xsi:type="dcterms:W3CDTF">2014-11-20T14:19:00Z</dcterms:modified>
</cp:coreProperties>
</file>