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sz w:val="28"/>
          <w:szCs w:val="28"/>
          <w:lang w:val="fr-CA"/>
        </w:rPr>
        <w:id w:val="-109432385"/>
        <w:docPartObj>
          <w:docPartGallery w:val="Cover Pages"/>
          <w:docPartUnique/>
        </w:docPartObj>
      </w:sdtPr>
      <w:sdtEndPr/>
      <w:sdtContent>
        <w:p w14:paraId="1A4243EA" w14:textId="77777777" w:rsidR="003B3802" w:rsidRPr="004C1458" w:rsidRDefault="007C47D7">
          <w:pPr>
            <w:rPr>
              <w:sz w:val="28"/>
              <w:szCs w:val="28"/>
              <w:lang w:val="fr-CA"/>
            </w:rPr>
          </w:pPr>
          <w:r>
            <w:rPr>
              <w:sz w:val="28"/>
              <w:szCs w:val="28"/>
              <w:lang w:val="fr-CA"/>
            </w:rPr>
            <w:pict w14:anchorId="5C576A6D">
              <v:shapetype id="_x0000_t202" coordsize="21600,21600" o:spt="202" path="m,l,21600r21600,l21600,xe">
                <v:stroke joinstyle="miter"/>
                <v:path gradientshapeok="t" o:connecttype="rect"/>
              </v:shapetype>
              <v:shape id="Text Box 138" o:spid="_x0000_s1026" type="#_x0000_t202" style="position:absolute;margin-left:0;margin-top:0;width:134.85pt;height:302.4pt;z-index:251659264;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" fillcolor="white [3201]" stroked="f" strokeweight=".5pt">
                <v:textbox inset="0,0,0,0">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400"/>
                        <w:gridCol w:w="2040"/>
                      </w:tblGrid>
                      <w:tr w:rsidR="002A2DB0" w:rsidRPr="000765DC" w14:paraId="2C5D5A83" w14:textId="77777777">
                        <w:trPr>
                          <w:jc w:val="center"/>
                        </w:trPr>
                        <w:tc>
                          <w:tcPr>
                            <w:tcW w:w="2568" w:type="pct"/>
                            <w:vAlign w:val="center"/>
                          </w:tcPr>
                          <w:p w14:paraId="139F173D" w14:textId="77777777" w:rsidR="002A2DB0" w:rsidRPr="000765DC" w:rsidRDefault="002A2DB0">
                            <w:pPr>
                              <w:jc w:val="right"/>
                              <w:rPr>
                                <w:lang w:val="fr-CA"/>
                              </w:rPr>
                            </w:pPr>
                            <w:r w:rsidRPr="000765DC">
                              <w:rPr>
                                <w:noProof/>
                                <w:lang w:val="fr-CA" w:eastAsia="zh-CN"/>
                              </w:rPr>
                              <w:drawing>
                                <wp:inline distT="0" distB="0" distL="0" distR="0" wp14:anchorId="611B9B9D" wp14:editId="7B2DBA36">
                                  <wp:extent cx="2964506" cy="1976755"/>
                                  <wp:effectExtent l="0" t="0" r="762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MERICANED_UCLACOMM_036-Copy-scaled.jpg"/>
                                          <pic:cNvPicPr/>
                                        </pic:nvPicPr>
                                        <pic:blipFill>
                                          <a:blip r:embed="rId9">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2969354" cy="1979987"/>
                                          </a:xfrm>
                                          <a:prstGeom prst="rect">
                                            <a:avLst/>
                                          </a:prstGeom>
                                        </pic:spPr>
                                      </pic:pic>
                                    </a:graphicData>
                                  </a:graphic>
                                </wp:inline>
                              </w:drawing>
                            </w:r>
                          </w:p>
                          <w:sdt>
                            <w:sdtPr>
                              <w:rPr>
                                <w:color w:val="833C0B" w:themeColor="accent2" w:themeShade="80"/>
                                <w:sz w:val="40"/>
                                <w:szCs w:val="40"/>
                                <w:lang w:val="fr-CA"/>
                              </w:rPr>
                              <w:alias w:val="Title"/>
                              <w:tag w:val=""/>
                              <w:id w:val="-438379639"/>
                              <w:dataBinding w:prefixMappings="xmlns:ns0='http://purl.org/dc/elements/1.1/' xmlns:ns1='http://schemas.openxmlformats.org/package/2006/metadata/core-properties' " w:xpath="/ns1:coreProperties[1]/ns0:title[1]" w:storeItemID="{6C3C8BC8-F283-45AE-878A-BAB7291924A1}"/>
                              <w:text/>
                            </w:sdtPr>
                            <w:sdtEndPr/>
                            <w:sdtContent>
                              <w:p w14:paraId="594B4A16" w14:textId="77777777" w:rsidR="002A2DB0" w:rsidRPr="000765DC" w:rsidRDefault="000C34D9" w:rsidP="000C34D9">
                                <w:pPr>
                                  <w:pStyle w:val="NoSpacing"/>
                                  <w:spacing w:line="312" w:lineRule="auto"/>
                                  <w:jc w:val="right"/>
                                  <w:rPr>
                                    <w:caps/>
                                    <w:color w:val="191919" w:themeColor="text1" w:themeTint="E6"/>
                                    <w:sz w:val="72"/>
                                    <w:szCs w:val="72"/>
                                    <w:lang w:val="fr-CA"/>
                                  </w:rPr>
                                </w:pPr>
                                <w:r w:rsidRPr="000C34D9">
                                  <w:rPr>
                                    <w:color w:val="833C0B" w:themeColor="accent2" w:themeShade="80"/>
                                    <w:sz w:val="40"/>
                                    <w:szCs w:val="40"/>
                                    <w:lang w:val="fr-CA"/>
                                  </w:rPr>
                                  <w:t>Analyse des modèles de développement et d’amélioration et des outils en matière d’équité dans les écoles des provinces et territoires canadiens</w:t>
                                </w:r>
                              </w:p>
                            </w:sdtContent>
                          </w:sdt>
                          <w:p w14:paraId="38662069" w14:textId="77777777" w:rsidR="002A2DB0" w:rsidRPr="000765DC" w:rsidRDefault="002A2DB0" w:rsidP="003B3802">
                            <w:pPr>
                              <w:jc w:val="right"/>
                              <w:rPr>
                                <w:sz w:val="24"/>
                                <w:szCs w:val="24"/>
                                <w:lang w:val="fr-CA"/>
                              </w:rPr>
                            </w:pPr>
                          </w:p>
                        </w:tc>
                        <w:tc>
                          <w:tcPr>
                            <w:tcW w:w="2432" w:type="pct"/>
                            <w:vAlign w:val="center"/>
                          </w:tcPr>
                          <w:p w14:paraId="40F61DA2" w14:textId="77777777" w:rsidR="002A2DB0" w:rsidRPr="000765DC" w:rsidRDefault="002A2DB0" w:rsidP="000765DC">
                            <w:pPr>
                              <w:pStyle w:val="NoSpacing"/>
                              <w:rPr>
                                <w:caps/>
                                <w:color w:val="ED7D31" w:themeColor="accent2"/>
                                <w:sz w:val="26"/>
                                <w:szCs w:val="26"/>
                                <w:lang w:val="fr-CA"/>
                              </w:rPr>
                            </w:pPr>
                            <w:r w:rsidRPr="000765DC">
                              <w:rPr>
                                <w:caps/>
                                <w:color w:val="ED7D31" w:themeColor="accent2"/>
                                <w:sz w:val="26"/>
                                <w:szCs w:val="26"/>
                                <w:lang w:val="fr-CA"/>
                              </w:rPr>
                              <w:t>A</w:t>
                            </w:r>
                            <w:r>
                              <w:rPr>
                                <w:caps/>
                                <w:color w:val="ED7D31" w:themeColor="accent2"/>
                                <w:sz w:val="26"/>
                                <w:szCs w:val="26"/>
                                <w:lang w:val="fr-CA"/>
                              </w:rPr>
                              <w:t>PERÇU</w:t>
                            </w:r>
                          </w:p>
                          <w:sdt>
                            <w:sdtPr>
                              <w:rPr>
                                <w:color w:val="000000" w:themeColor="text1"/>
                                <w:lang w:val="fr-CA"/>
                              </w:rPr>
                              <w:alias w:val="Abstract"/>
                              <w:tag w:val=""/>
                              <w:id w:val="-2036181933"/>
                              <w:dataBinding w:prefixMappings="xmlns:ns0='http://schemas.microsoft.com/office/2006/coverPageProps' " w:xpath="/ns0:CoverPageProperties[1]/ns0:Abstract[1]" w:storeItemID="{55AF091B-3C7A-41E3-B477-F2FDAA23CFDA}"/>
                              <w:text/>
                            </w:sdtPr>
                            <w:sdtEndPr/>
                            <w:sdtContent>
                              <w:p w14:paraId="3CDBA040" w14:textId="77777777" w:rsidR="002A2DB0" w:rsidRPr="000765DC" w:rsidRDefault="002A2DB0" w:rsidP="002A2DB0">
                                <w:pPr>
                                  <w:rPr>
                                    <w:color w:val="000000" w:themeColor="text1"/>
                                    <w:lang w:val="fr-CA"/>
                                  </w:rPr>
                                </w:pPr>
                                <w:r w:rsidRPr="002A2DB0">
                                  <w:rPr>
                                    <w:color w:val="000000" w:themeColor="text1"/>
                                    <w:lang w:val="fr-CA"/>
                                  </w:rPr>
                                  <w:t>Résumé de l’utilis</w:t>
                                </w:r>
                                <w:r>
                                  <w:rPr>
                                    <w:color w:val="000000" w:themeColor="text1"/>
                                    <w:lang w:val="fr-CA"/>
                                  </w:rPr>
                                  <w:t>ation</w:t>
                                </w:r>
                                <w:r w:rsidRPr="002A2DB0">
                                  <w:rPr>
                                    <w:color w:val="000000" w:themeColor="text1"/>
                                    <w:lang w:val="fr-CA"/>
                                  </w:rPr>
                                  <w:t xml:space="preserve"> d’outils et de politiques en matière d’équité dans les écoles et les districts et divisions scolaires au Canada</w:t>
                                </w:r>
                              </w:p>
                            </w:sdtContent>
                          </w:sdt>
                          <w:sdt>
                            <w:sdtPr>
                              <w:rPr>
                                <w:color w:val="ED7D31" w:themeColor="accent2"/>
                                <w:sz w:val="26"/>
                                <w:szCs w:val="26"/>
                                <w:lang w:val="fr-CA"/>
                              </w:rPr>
                              <w:alias w:val="Author"/>
                              <w:tag w:val=""/>
                              <w:id w:val="-279026076"/>
                              <w:dataBinding w:prefixMappings="xmlns:ns0='http://purl.org/dc/elements/1.1/' xmlns:ns1='http://schemas.openxmlformats.org/package/2006/metadata/core-properties' " w:xpath="/ns1:coreProperties[1]/ns0:creator[1]" w:storeItemID="{6C3C8BC8-F283-45AE-878A-BAB7291924A1}"/>
                              <w:text/>
                            </w:sdtPr>
                            <w:sdtEndPr/>
                            <w:sdtContent>
                              <w:p w14:paraId="509F8D44" w14:textId="77777777" w:rsidR="002A2DB0" w:rsidRPr="000765DC" w:rsidRDefault="002A2DB0" w:rsidP="002A2DB0">
                                <w:pPr>
                                  <w:pStyle w:val="NoSpacing"/>
                                  <w:rPr>
                                    <w:color w:val="ED7D31" w:themeColor="accent2"/>
                                    <w:sz w:val="26"/>
                                    <w:szCs w:val="26"/>
                                    <w:lang w:val="fr-CA"/>
                                  </w:rPr>
                                </w:pPr>
                                <w:r w:rsidRPr="002A2DB0">
                                  <w:rPr>
                                    <w:color w:val="ED7D31" w:themeColor="accent2"/>
                                    <w:sz w:val="26"/>
                                    <w:szCs w:val="26"/>
                                    <w:lang w:val="fr-CA"/>
                                  </w:rPr>
                                  <w:t>Groupe de travail sur l’équité du Consortium conjoint pour les écoles en santé (CCES)</w:t>
                                </w:r>
                              </w:p>
                            </w:sdtContent>
                          </w:sdt>
                          <w:p w14:paraId="13FB57A0" w14:textId="77777777" w:rsidR="002A2DB0" w:rsidRPr="000765DC" w:rsidRDefault="007C47D7" w:rsidP="002A2DB0">
                            <w:pPr>
                              <w:pStyle w:val="NoSpacing"/>
                              <w:rPr>
                                <w:lang w:val="fr-CA"/>
                              </w:rPr>
                            </w:pPr>
                            <w:sdt>
                              <w:sdtPr>
                                <w:rPr>
                                  <w:color w:val="44546A" w:themeColor="text2"/>
                                  <w:lang w:val="fr-CA"/>
                                </w:rPr>
                                <w:alias w:val="Course"/>
                                <w:tag w:val="Course"/>
                                <w:id w:val="-710501431"/>
                                <w:dataBinding w:prefixMappings="xmlns:ns0='http://purl.org/dc/elements/1.1/' xmlns:ns1='http://schemas.openxmlformats.org/package/2006/metadata/core-properties' " w:xpath="/ns1:coreProperties[1]/ns1:category[1]" w:storeItemID="{6C3C8BC8-F283-45AE-878A-BAB7291924A1}"/>
                                <w:text/>
                              </w:sdtPr>
                              <w:sdtEndPr/>
                              <w:sdtContent>
                                <w:r w:rsidR="002A2DB0">
                                  <w:rPr>
                                    <w:color w:val="44546A" w:themeColor="text2"/>
                                    <w:lang w:val="fr-CA"/>
                                  </w:rPr>
                                  <w:t xml:space="preserve">Le </w:t>
                                </w:r>
                                <w:r w:rsidR="002A2DB0" w:rsidRPr="000765DC">
                                  <w:rPr>
                                    <w:color w:val="44546A" w:themeColor="text2"/>
                                    <w:lang w:val="fr-CA"/>
                                  </w:rPr>
                                  <w:t>4</w:t>
                                </w:r>
                                <w:r w:rsidR="002A2DB0">
                                  <w:rPr>
                                    <w:color w:val="44546A" w:themeColor="text2"/>
                                    <w:lang w:val="fr-CA"/>
                                  </w:rPr>
                                  <w:t xml:space="preserve"> mai</w:t>
                                </w:r>
                                <w:r w:rsidR="002A2DB0" w:rsidRPr="000765DC">
                                  <w:rPr>
                                    <w:color w:val="44546A" w:themeColor="text2"/>
                                    <w:lang w:val="fr-CA"/>
                                  </w:rPr>
                                  <w:t xml:space="preserve"> 2022</w:t>
                                </w:r>
                              </w:sdtContent>
                            </w:sdt>
                          </w:p>
                        </w:tc>
                      </w:tr>
                    </w:tbl>
                    <w:p w14:paraId="14660EB6" w14:textId="77777777" w:rsidR="002A2DB0" w:rsidRPr="000765DC" w:rsidRDefault="002A2DB0">
                      <w:pPr>
                        <w:rPr>
                          <w:lang w:val="fr-CA"/>
                        </w:rPr>
                      </w:pPr>
                    </w:p>
                  </w:txbxContent>
                </v:textbox>
                <w10:wrap anchorx="page" anchory="page"/>
              </v:shape>
            </w:pict>
          </w:r>
          <w:r w:rsidR="003B3802" w:rsidRPr="004C1458">
            <w:rPr>
              <w:sz w:val="28"/>
              <w:szCs w:val="28"/>
              <w:lang w:val="fr-CA"/>
            </w:rPr>
            <w:br w:type="page"/>
          </w:r>
        </w:p>
      </w:sdtContent>
    </w:sdt>
    <w:p w14:paraId="7B3422C0" w14:textId="77777777" w:rsidR="00F20A7B" w:rsidRPr="004C1458" w:rsidRDefault="00F20A7B" w:rsidP="00F20A7B">
      <w:pPr>
        <w:rPr>
          <w:b/>
          <w:u w:val="single"/>
          <w:lang w:val="fr-CA"/>
        </w:rPr>
      </w:pPr>
      <w:r w:rsidRPr="004C1458">
        <w:rPr>
          <w:b/>
          <w:lang w:val="fr-CA"/>
        </w:rPr>
        <w:lastRenderedPageBreak/>
        <w:tab/>
      </w:r>
    </w:p>
    <w:p w14:paraId="1A26092D" w14:textId="77777777" w:rsidR="00F20A7B" w:rsidRPr="004C1458" w:rsidRDefault="00C65065" w:rsidP="00F20A7B">
      <w:pPr>
        <w:pStyle w:val="Title"/>
        <w:rPr>
          <w:color w:val="833C0B" w:themeColor="accent2" w:themeShade="80"/>
          <w:lang w:val="fr-CA"/>
        </w:rPr>
      </w:pPr>
      <w:r w:rsidRPr="004C1458">
        <w:rPr>
          <w:color w:val="833C0B" w:themeColor="accent2" w:themeShade="80"/>
          <w:lang w:val="fr-CA"/>
        </w:rPr>
        <w:t>Résumé</w:t>
      </w:r>
    </w:p>
    <w:p w14:paraId="403ACCB4" w14:textId="77777777" w:rsidR="005366FD" w:rsidRPr="004C1458" w:rsidRDefault="00C65065" w:rsidP="003F1917">
      <w:pPr>
        <w:pStyle w:val="Heading1"/>
        <w:rPr>
          <w:lang w:val="fr-CA"/>
        </w:rPr>
      </w:pPr>
      <w:r w:rsidRPr="004C1458">
        <w:rPr>
          <w:lang w:val="fr-CA"/>
        </w:rPr>
        <w:t xml:space="preserve">La présente analyse contextuelle comporte deux volets : </w:t>
      </w:r>
      <w:r w:rsidR="003F1917" w:rsidRPr="004C1458">
        <w:rPr>
          <w:lang w:val="fr-CA"/>
        </w:rPr>
        <w:t>d</w:t>
      </w:r>
      <w:r w:rsidRPr="004C1458">
        <w:rPr>
          <w:lang w:val="fr-CA"/>
        </w:rPr>
        <w:t xml:space="preserve">éveloppement et amélioration des écoles et </w:t>
      </w:r>
      <w:r w:rsidRPr="004C1458">
        <w:rPr>
          <w:b/>
          <w:bCs/>
          <w:lang w:val="fr-CA"/>
        </w:rPr>
        <w:t>équité</w:t>
      </w:r>
      <w:r w:rsidRPr="004C1458">
        <w:rPr>
          <w:lang w:val="fr-CA"/>
        </w:rPr>
        <w:t xml:space="preserve"> en milieu scolaire</w:t>
      </w:r>
    </w:p>
    <w:p w14:paraId="2ACBE890" w14:textId="77777777" w:rsidR="00BD015C" w:rsidRPr="004C1458" w:rsidRDefault="00AF6310" w:rsidP="00AF6310">
      <w:pPr>
        <w:rPr>
          <w:sz w:val="26"/>
          <w:szCs w:val="26"/>
          <w:lang w:val="fr-CA"/>
        </w:rPr>
      </w:pPr>
      <w:r w:rsidRPr="004C1458">
        <w:rPr>
          <w:sz w:val="26"/>
          <w:szCs w:val="26"/>
          <w:lang w:val="fr-CA"/>
        </w:rPr>
        <w:t>Le Consortium conjoint pour les écoles en santé (CCES) travaille sur une ressource visant à favoriser l’équité en milieu scolaire. Afin d’étayer ce travail, nous demandons aux gouvernements provinciaux et territoriaux de l’information sur les modèles de développement et d’amélioration des écoles et les outils en matière d’équité qu’ils utilisent actuellement. Ces outils en matière d’équité peuvent comprendre des politiques, programmes et études d’impact en matière d’équité, par exemple. Nous aimerions plus particulièrement connaître votre approche en matière d’équité en milieu scolaire, le cas échéant, ainsi que les réussites, les défis et les leçons tirées connexes.</w:t>
      </w:r>
    </w:p>
    <w:p w14:paraId="6BA5A79D" w14:textId="77777777" w:rsidR="005605A3" w:rsidRPr="004C1458" w:rsidRDefault="0087378C" w:rsidP="00994325">
      <w:pPr>
        <w:rPr>
          <w:sz w:val="26"/>
          <w:szCs w:val="26"/>
          <w:lang w:val="fr-CA"/>
        </w:rPr>
      </w:pPr>
      <w:r w:rsidRPr="004C1458">
        <w:rPr>
          <w:sz w:val="26"/>
          <w:szCs w:val="26"/>
          <w:lang w:val="fr-CA"/>
        </w:rPr>
        <w:t>Dans nos efforts de conception d’un outil qui peut être central plutôt que complémentaire afin de travailler dans le milieu de l’éducation, nous aimerions étudier les modèles de développement et d’amélioration des écoles dans les provinces et territoires de sorte à déterminer si nous pouvons soutenir le travail actuel. Veuillez prendre note qu’une demande semblable a été envoyée au milieu de la santé afin d’obtenir de l’information sur la santé dans toutes les politiques et l’équité en santé de sorte à déterminer s’il existe des synergies que l’on pourrait appliquer dans ce travail.</w:t>
      </w:r>
    </w:p>
    <w:p w14:paraId="4D1C20EE" w14:textId="77777777" w:rsidR="005605A3" w:rsidRPr="004C1458" w:rsidRDefault="001D4EF8" w:rsidP="005539E1">
      <w:pPr>
        <w:rPr>
          <w:sz w:val="26"/>
          <w:szCs w:val="26"/>
          <w:lang w:val="fr-CA"/>
        </w:rPr>
      </w:pPr>
      <w:r w:rsidRPr="004C1458">
        <w:rPr>
          <w:sz w:val="26"/>
          <w:szCs w:val="26"/>
          <w:lang w:val="fr-CA"/>
        </w:rPr>
        <w:t>Veuillez inclure toute information pertinente dans la section et le tableau ci-après.</w:t>
      </w:r>
    </w:p>
    <w:p w14:paraId="4B281DB5" w14:textId="77777777" w:rsidR="004B7A80" w:rsidRPr="004C1458" w:rsidRDefault="001D4EF8" w:rsidP="00F20A7B">
      <w:pPr>
        <w:pStyle w:val="ListParagraph"/>
        <w:numPr>
          <w:ilvl w:val="0"/>
          <w:numId w:val="27"/>
        </w:numPr>
        <w:spacing w:after="240" w:line="240" w:lineRule="auto"/>
        <w:ind w:left="714" w:hanging="357"/>
        <w:contextualSpacing w:val="0"/>
        <w:rPr>
          <w:sz w:val="26"/>
          <w:szCs w:val="26"/>
          <w:lang w:val="fr-CA"/>
        </w:rPr>
      </w:pPr>
      <w:r w:rsidRPr="004C1458">
        <w:rPr>
          <w:sz w:val="26"/>
          <w:szCs w:val="26"/>
          <w:lang w:val="fr-CA"/>
        </w:rPr>
        <w:t>Équité :</w:t>
      </w:r>
    </w:p>
    <w:p w14:paraId="5D087B06" w14:textId="77777777" w:rsidR="005366FD" w:rsidRPr="004C1458" w:rsidRDefault="009A6D22" w:rsidP="009A6D22">
      <w:pPr>
        <w:pStyle w:val="ListParagraph"/>
        <w:numPr>
          <w:ilvl w:val="1"/>
          <w:numId w:val="27"/>
        </w:numPr>
        <w:spacing w:after="240" w:line="240" w:lineRule="auto"/>
        <w:rPr>
          <w:sz w:val="26"/>
          <w:szCs w:val="26"/>
          <w:lang w:val="fr-CA"/>
        </w:rPr>
      </w:pPr>
      <w:r w:rsidRPr="004C1458">
        <w:rPr>
          <w:sz w:val="26"/>
          <w:szCs w:val="26"/>
          <w:lang w:val="fr-CA"/>
        </w:rPr>
        <w:t>L’équité en éducation a pour but d’éliminer l’exclusion sociale résultant des attitudes et réactions à la diversité de race, de classe sociale, d’ethnicité, de religion, de genre et de capacité. Ainsi, elle part de la croyance que l’éducation est un droit fondamental et le fondement d’une société plus juste. D’où l’accent mis sur l’équité, qui implique un souci de justice.</w:t>
      </w:r>
      <w:r w:rsidR="004B7A80" w:rsidRPr="004C1458">
        <w:rPr>
          <w:rStyle w:val="FootnoteReference"/>
          <w:sz w:val="26"/>
          <w:szCs w:val="26"/>
          <w:lang w:val="fr-CA"/>
        </w:rPr>
        <w:footnoteReference w:id="1"/>
      </w:r>
    </w:p>
    <w:p w14:paraId="29647FF4" w14:textId="77777777" w:rsidR="004B7A80" w:rsidRPr="004C1458" w:rsidRDefault="004B7A80" w:rsidP="004B7A80">
      <w:pPr>
        <w:pStyle w:val="ListParagraph"/>
        <w:spacing w:after="240" w:line="240" w:lineRule="auto"/>
        <w:ind w:left="1440"/>
        <w:rPr>
          <w:sz w:val="26"/>
          <w:szCs w:val="26"/>
          <w:lang w:val="fr-CA"/>
        </w:rPr>
      </w:pPr>
    </w:p>
    <w:p w14:paraId="0F8D8744" w14:textId="77777777" w:rsidR="005539E1" w:rsidRPr="004C1458" w:rsidRDefault="00156443" w:rsidP="00F20A7B">
      <w:pPr>
        <w:pStyle w:val="ListParagraph"/>
        <w:numPr>
          <w:ilvl w:val="0"/>
          <w:numId w:val="27"/>
        </w:numPr>
        <w:spacing w:after="240" w:line="240" w:lineRule="auto"/>
        <w:ind w:left="714" w:hanging="357"/>
        <w:contextualSpacing w:val="0"/>
        <w:rPr>
          <w:sz w:val="26"/>
          <w:szCs w:val="26"/>
          <w:lang w:val="fr-CA"/>
        </w:rPr>
      </w:pPr>
      <w:r w:rsidRPr="004C1458">
        <w:rPr>
          <w:sz w:val="26"/>
          <w:szCs w:val="26"/>
          <w:lang w:val="fr-CA"/>
        </w:rPr>
        <w:t>Plans de développement et d’amélioration des écoles :</w:t>
      </w:r>
    </w:p>
    <w:p w14:paraId="438AE417" w14:textId="77777777" w:rsidR="00307078" w:rsidRPr="004C1458" w:rsidRDefault="003B4684" w:rsidP="005539E1">
      <w:pPr>
        <w:pStyle w:val="ListParagraph"/>
        <w:numPr>
          <w:ilvl w:val="1"/>
          <w:numId w:val="27"/>
        </w:numPr>
        <w:spacing w:after="240" w:line="240" w:lineRule="auto"/>
        <w:contextualSpacing w:val="0"/>
        <w:rPr>
          <w:sz w:val="26"/>
          <w:szCs w:val="26"/>
          <w:lang w:val="fr-CA"/>
        </w:rPr>
      </w:pPr>
      <w:r w:rsidRPr="004C1458">
        <w:rPr>
          <w:sz w:val="27"/>
          <w:szCs w:val="27"/>
          <w:shd w:val="clear" w:color="auto" w:fill="FFFFFF"/>
          <w:lang w:val="fr-CA"/>
        </w:rPr>
        <w:t>« Le plan d’amélioration d’une école est un plan de route qui décrit les changements qu’une école doit apporter pour améliorer le rendement de ses élèves et qui précise la façon dont ces changements seront apportés et le moment quand ils le seront. »</w:t>
      </w:r>
      <w:r w:rsidR="00307078" w:rsidRPr="004C1458">
        <w:rPr>
          <w:rStyle w:val="FootnoteReference"/>
          <w:sz w:val="27"/>
          <w:szCs w:val="27"/>
          <w:shd w:val="clear" w:color="auto" w:fill="FFFFFF"/>
          <w:lang w:val="fr-CA"/>
        </w:rPr>
        <w:footnoteReference w:id="2"/>
      </w:r>
    </w:p>
    <w:p w14:paraId="425D1C86" w14:textId="77777777" w:rsidR="005539E1" w:rsidRPr="004C1458" w:rsidRDefault="00BD17AC" w:rsidP="00BD17AC">
      <w:pPr>
        <w:pStyle w:val="ListParagraph"/>
        <w:numPr>
          <w:ilvl w:val="1"/>
          <w:numId w:val="27"/>
        </w:numPr>
        <w:spacing w:after="240" w:line="240" w:lineRule="auto"/>
        <w:contextualSpacing w:val="0"/>
        <w:rPr>
          <w:sz w:val="26"/>
          <w:szCs w:val="26"/>
          <w:lang w:val="fr-CA"/>
        </w:rPr>
      </w:pPr>
      <w:r w:rsidRPr="004C1458">
        <w:rPr>
          <w:sz w:val="27"/>
          <w:szCs w:val="27"/>
          <w:shd w:val="clear" w:color="auto" w:fill="FFFFFF"/>
          <w:lang w:val="fr-CA"/>
        </w:rPr>
        <w:t>Le plan de développement d’une école est une approche systématique du changement conçue pour la guider dans la concrétisation de sa mission de créer un environnement où l’ensemble des élèves participent et apprennent, ainsi que pour concentrer ses efforts à cet égard. Il est axé sur les résultats et nécessite une réflexion collective, l’analyse des données, la résolution des problèmes, de la planification</w:t>
      </w:r>
      <w:r w:rsidR="00DA4815" w:rsidRPr="004C1458">
        <w:rPr>
          <w:sz w:val="27"/>
          <w:szCs w:val="27"/>
          <w:shd w:val="clear" w:color="auto" w:fill="FFFFFF"/>
          <w:lang w:val="fr-CA"/>
        </w:rPr>
        <w:t xml:space="preserve"> et</w:t>
      </w:r>
      <w:r w:rsidRPr="004C1458">
        <w:rPr>
          <w:sz w:val="27"/>
          <w:szCs w:val="27"/>
          <w:shd w:val="clear" w:color="auto" w:fill="FFFFFF"/>
          <w:lang w:val="fr-CA"/>
        </w:rPr>
        <w:t xml:space="preserve"> une amélioration continue.</w:t>
      </w:r>
      <w:r w:rsidR="005539E1" w:rsidRPr="004C1458">
        <w:rPr>
          <w:rStyle w:val="FootnoteReference"/>
          <w:sz w:val="27"/>
          <w:szCs w:val="27"/>
          <w:shd w:val="clear" w:color="auto" w:fill="FFFFFF"/>
          <w:lang w:val="fr-CA"/>
        </w:rPr>
        <w:footnoteReference w:id="3"/>
      </w:r>
    </w:p>
    <w:p w14:paraId="091C162D" w14:textId="77777777" w:rsidR="009B3781" w:rsidRPr="004C1458" w:rsidRDefault="00AF3032" w:rsidP="00AF3032">
      <w:pPr>
        <w:pStyle w:val="ListParagraph"/>
        <w:numPr>
          <w:ilvl w:val="0"/>
          <w:numId w:val="35"/>
        </w:numPr>
        <w:spacing w:after="240" w:line="240" w:lineRule="auto"/>
        <w:rPr>
          <w:sz w:val="26"/>
          <w:szCs w:val="26"/>
          <w:lang w:val="fr-CA"/>
        </w:rPr>
      </w:pPr>
      <w:r w:rsidRPr="004C1458">
        <w:rPr>
          <w:sz w:val="26"/>
          <w:szCs w:val="26"/>
          <w:lang w:val="fr-CA"/>
        </w:rPr>
        <w:t>Veuillez décrire votre modèle de développement et d’amélioration des écoles.</w:t>
      </w:r>
      <w:r w:rsidRPr="004C1458">
        <w:rPr>
          <w:sz w:val="26"/>
          <w:szCs w:val="26"/>
          <w:lang w:val="fr-CA"/>
        </w:rPr>
        <w:br/>
      </w:r>
      <w:r w:rsidR="00C2133C" w:rsidRPr="004C1458">
        <w:rPr>
          <w:sz w:val="26"/>
          <w:szCs w:val="26"/>
          <w:lang w:val="fr-CA"/>
        </w:rPr>
        <w:t>__________________________________________________________________________________________________________________________________________________________________________________________________________________________________________</w:t>
      </w:r>
    </w:p>
    <w:p w14:paraId="158B797E" w14:textId="77777777" w:rsidR="009B3781" w:rsidRPr="004C1458" w:rsidRDefault="00D274CC" w:rsidP="00D274CC">
      <w:pPr>
        <w:pStyle w:val="ListParagraph"/>
        <w:numPr>
          <w:ilvl w:val="0"/>
          <w:numId w:val="35"/>
        </w:numPr>
        <w:spacing w:after="240" w:line="240" w:lineRule="auto"/>
        <w:rPr>
          <w:sz w:val="26"/>
          <w:szCs w:val="26"/>
          <w:lang w:val="fr-CA"/>
        </w:rPr>
      </w:pPr>
      <w:r w:rsidRPr="004C1458">
        <w:rPr>
          <w:sz w:val="26"/>
          <w:szCs w:val="26"/>
          <w:lang w:val="fr-CA"/>
        </w:rPr>
        <w:lastRenderedPageBreak/>
        <w:t>La santé et le mieux-être sont-ils pris en compte dans les plans de développement et d’amélioration des écoles? Si oui, s’agit-il d’un volet pour lequel les écoles doivent concevoir un plan et rendre des comptes?</w:t>
      </w:r>
      <w:r w:rsidRPr="004C1458">
        <w:rPr>
          <w:sz w:val="26"/>
          <w:szCs w:val="26"/>
          <w:lang w:val="fr-CA"/>
        </w:rPr>
        <w:br/>
      </w:r>
      <w:r w:rsidR="00C2133C" w:rsidRPr="004C1458">
        <w:rPr>
          <w:sz w:val="26"/>
          <w:szCs w:val="26"/>
          <w:lang w:val="fr-C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2C092A5" w14:textId="77777777" w:rsidR="009D6F42" w:rsidRPr="004C1458" w:rsidRDefault="006773F2" w:rsidP="006773F2">
      <w:pPr>
        <w:pStyle w:val="ListParagraph"/>
        <w:numPr>
          <w:ilvl w:val="0"/>
          <w:numId w:val="35"/>
        </w:numPr>
        <w:spacing w:after="240" w:line="240" w:lineRule="auto"/>
        <w:rPr>
          <w:sz w:val="26"/>
          <w:szCs w:val="26"/>
          <w:lang w:val="fr-CA"/>
        </w:rPr>
      </w:pPr>
      <w:r w:rsidRPr="004C1458">
        <w:rPr>
          <w:sz w:val="26"/>
          <w:szCs w:val="26"/>
          <w:lang w:val="fr-CA"/>
        </w:rPr>
        <w:t>L’évaluation fait-elle partie du plan de développement et d’amélioration des écoles? Si oui, veuillez fournir de l’information sur le cadre ou processus d’évaluation.</w:t>
      </w:r>
      <w:r w:rsidR="00C2133C" w:rsidRPr="004C1458">
        <w:rPr>
          <w:sz w:val="26"/>
          <w:szCs w:val="26"/>
          <w:lang w:val="fr-CA"/>
        </w:rPr>
        <w:t xml:space="preserve"> __________________________________________________________________________________________________________________________________________________________________________________________________________________________________________</w:t>
      </w:r>
    </w:p>
    <w:p w14:paraId="50C67C70" w14:textId="77777777" w:rsidR="00C0425C" w:rsidRPr="004C1458" w:rsidRDefault="006773F2" w:rsidP="006773F2">
      <w:pPr>
        <w:pStyle w:val="ListParagraph"/>
        <w:numPr>
          <w:ilvl w:val="0"/>
          <w:numId w:val="35"/>
        </w:numPr>
        <w:spacing w:after="240" w:line="240" w:lineRule="auto"/>
        <w:rPr>
          <w:sz w:val="26"/>
          <w:szCs w:val="26"/>
          <w:lang w:val="fr-CA"/>
        </w:rPr>
      </w:pPr>
      <w:r w:rsidRPr="004C1458">
        <w:rPr>
          <w:sz w:val="26"/>
          <w:szCs w:val="26"/>
          <w:lang w:val="fr-CA"/>
        </w:rPr>
        <w:t>L’équité en milieu scolaire est-elle une priorité dans votre province ou territoire?</w:t>
      </w:r>
      <w:r w:rsidRPr="004C1458">
        <w:rPr>
          <w:sz w:val="26"/>
          <w:szCs w:val="26"/>
          <w:lang w:val="fr-CA"/>
        </w:rPr>
        <w:br/>
      </w:r>
      <w:r w:rsidR="00C2133C" w:rsidRPr="004C1458">
        <w:rPr>
          <w:sz w:val="26"/>
          <w:szCs w:val="26"/>
          <w:lang w:val="fr-CA"/>
        </w:rPr>
        <w:t>__________________________________________________________________________________________________________________________________________________________________________________________________________________________________________</w:t>
      </w:r>
    </w:p>
    <w:p w14:paraId="69A0ACE0" w14:textId="77777777" w:rsidR="009B3781" w:rsidRPr="004C1458" w:rsidRDefault="006773F2" w:rsidP="00D974E5">
      <w:pPr>
        <w:pStyle w:val="ListParagraph"/>
        <w:numPr>
          <w:ilvl w:val="0"/>
          <w:numId w:val="35"/>
        </w:numPr>
        <w:spacing w:after="240" w:line="240" w:lineRule="auto"/>
        <w:rPr>
          <w:sz w:val="26"/>
          <w:szCs w:val="26"/>
          <w:lang w:val="fr-CA"/>
        </w:rPr>
      </w:pPr>
      <w:r w:rsidRPr="004C1458">
        <w:rPr>
          <w:sz w:val="26"/>
          <w:szCs w:val="26"/>
          <w:lang w:val="fr-CA"/>
        </w:rPr>
        <w:t>Utilise-t-on des outils en matière d’équité en milieu scolaire dans votre province ou territoire? Si oui, veuillez dresser la liste des outils utilisés et fourni</w:t>
      </w:r>
      <w:r w:rsidR="004C1458">
        <w:rPr>
          <w:sz w:val="26"/>
          <w:szCs w:val="26"/>
          <w:lang w:val="fr-CA"/>
        </w:rPr>
        <w:t>r</w:t>
      </w:r>
      <w:r w:rsidRPr="004C1458">
        <w:rPr>
          <w:sz w:val="26"/>
          <w:szCs w:val="26"/>
          <w:lang w:val="fr-CA"/>
        </w:rPr>
        <w:t xml:space="preserve"> un lien </w:t>
      </w:r>
      <w:r w:rsidR="00D974E5">
        <w:rPr>
          <w:sz w:val="26"/>
          <w:szCs w:val="26"/>
          <w:lang w:val="fr-CA"/>
        </w:rPr>
        <w:t>vers</w:t>
      </w:r>
      <w:r w:rsidRPr="004C1458">
        <w:rPr>
          <w:sz w:val="26"/>
          <w:szCs w:val="26"/>
          <w:lang w:val="fr-CA"/>
        </w:rPr>
        <w:t xml:space="preserve"> toute information disponible en ligne.</w:t>
      </w:r>
      <w:r w:rsidR="003E5BEE" w:rsidRPr="004C1458">
        <w:rPr>
          <w:sz w:val="26"/>
          <w:szCs w:val="26"/>
          <w:lang w:val="fr-CA"/>
        </w:rPr>
        <w:br/>
      </w:r>
      <w:r w:rsidR="00C2133C" w:rsidRPr="004C1458">
        <w:rPr>
          <w:sz w:val="26"/>
          <w:szCs w:val="26"/>
          <w:lang w:val="fr-CA"/>
        </w:rPr>
        <w:t>__________________________________________________________________________________________________________________________________________________________________________________________________________________________________________</w:t>
      </w:r>
    </w:p>
    <w:p w14:paraId="5415058F" w14:textId="77777777" w:rsidR="00754A42" w:rsidRPr="004C1458" w:rsidRDefault="00F90E50" w:rsidP="00F90E50">
      <w:pPr>
        <w:pStyle w:val="ListParagraph"/>
        <w:numPr>
          <w:ilvl w:val="0"/>
          <w:numId w:val="35"/>
        </w:numPr>
        <w:spacing w:after="240" w:line="240" w:lineRule="auto"/>
        <w:rPr>
          <w:sz w:val="26"/>
          <w:szCs w:val="26"/>
          <w:lang w:val="fr-CA"/>
        </w:rPr>
      </w:pPr>
      <w:r w:rsidRPr="004C1458">
        <w:rPr>
          <w:sz w:val="26"/>
          <w:szCs w:val="26"/>
          <w:lang w:val="fr-CA"/>
        </w:rPr>
        <w:t>Veuillez mentionner les réussites, les défis et les leçons tirées, le cas échéant, dans votre soutien à l’équité en milieu scolaire.</w:t>
      </w:r>
      <w:r w:rsidRPr="004C1458">
        <w:rPr>
          <w:sz w:val="26"/>
          <w:szCs w:val="26"/>
          <w:lang w:val="fr-CA"/>
        </w:rPr>
        <w:br/>
      </w:r>
      <w:r w:rsidR="00C2133C" w:rsidRPr="004C1458">
        <w:rPr>
          <w:sz w:val="26"/>
          <w:szCs w:val="26"/>
          <w:lang w:val="fr-CA"/>
        </w:rPr>
        <w:t>__________________________________________________________________________________________________________________________________________________________________________________________________________________________________________</w:t>
      </w:r>
    </w:p>
    <w:p w14:paraId="45832646" w14:textId="77777777" w:rsidR="00C0425C" w:rsidRPr="004C1458" w:rsidRDefault="00F90E50" w:rsidP="00C0425C">
      <w:pPr>
        <w:pStyle w:val="ListParagraph"/>
        <w:numPr>
          <w:ilvl w:val="0"/>
          <w:numId w:val="35"/>
        </w:numPr>
        <w:spacing w:after="240" w:line="240" w:lineRule="auto"/>
        <w:rPr>
          <w:sz w:val="26"/>
          <w:szCs w:val="26"/>
          <w:lang w:val="fr-CA"/>
        </w:rPr>
      </w:pPr>
      <w:r w:rsidRPr="004C1458">
        <w:rPr>
          <w:sz w:val="26"/>
          <w:szCs w:val="26"/>
          <w:lang w:val="fr-CA"/>
        </w:rPr>
        <w:t>Merci de fournir toute autre information que vous croyez pertinente pour étayer un outil en matière d’équité en santé en milieu scolaire.</w:t>
      </w:r>
      <w:r w:rsidRPr="004C1458">
        <w:rPr>
          <w:sz w:val="26"/>
          <w:szCs w:val="26"/>
          <w:lang w:val="fr-CA"/>
        </w:rPr>
        <w:br/>
      </w:r>
      <w:r w:rsidR="00C2133C" w:rsidRPr="004C1458">
        <w:rPr>
          <w:sz w:val="26"/>
          <w:szCs w:val="26"/>
          <w:lang w:val="fr-CA"/>
        </w:rPr>
        <w:t>__________________________________________________________________________________________________________________________________________________________________________________________________________________________________________</w:t>
      </w:r>
    </w:p>
    <w:p w14:paraId="536037C6" w14:textId="77777777" w:rsidR="00135D08" w:rsidRPr="004C1458" w:rsidRDefault="00135D08">
      <w:pPr>
        <w:rPr>
          <w:b/>
          <w:u w:val="single"/>
          <w:lang w:val="fr-CA"/>
        </w:rPr>
      </w:pPr>
    </w:p>
    <w:tbl>
      <w:tblPr>
        <w:tblStyle w:val="TableGrid"/>
        <w:tblW w:w="5000" w:type="pct"/>
        <w:tblLook w:val="04A0" w:firstRow="1" w:lastRow="0" w:firstColumn="1" w:lastColumn="0" w:noHBand="0" w:noVBand="1"/>
      </w:tblPr>
      <w:tblGrid>
        <w:gridCol w:w="1751"/>
        <w:gridCol w:w="2536"/>
        <w:gridCol w:w="2740"/>
        <w:gridCol w:w="1497"/>
        <w:gridCol w:w="2230"/>
      </w:tblGrid>
      <w:tr w:rsidR="005D2B78" w:rsidRPr="002616AA" w14:paraId="085D2223" w14:textId="77777777" w:rsidTr="004D4ECE">
        <w:tc>
          <w:tcPr>
            <w:tcW w:w="814" w:type="pct"/>
          </w:tcPr>
          <w:p w14:paraId="2D4899CC" w14:textId="77777777" w:rsidR="005D2B78" w:rsidRPr="004C1458" w:rsidRDefault="000E7438" w:rsidP="00C2133C">
            <w:pPr>
              <w:rPr>
                <w:sz w:val="20"/>
                <w:szCs w:val="20"/>
                <w:lang w:val="fr-CA"/>
              </w:rPr>
            </w:pPr>
            <w:r w:rsidRPr="004C1458">
              <w:rPr>
                <w:sz w:val="20"/>
                <w:szCs w:val="20"/>
                <w:lang w:val="fr-CA"/>
              </w:rPr>
              <w:t>Province ou territoire</w:t>
            </w:r>
          </w:p>
        </w:tc>
        <w:tc>
          <w:tcPr>
            <w:tcW w:w="1179" w:type="pct"/>
          </w:tcPr>
          <w:p w14:paraId="5540EC0B" w14:textId="77777777" w:rsidR="005D2B78" w:rsidRPr="004C1458" w:rsidRDefault="000E7438" w:rsidP="00C2133C">
            <w:pPr>
              <w:rPr>
                <w:sz w:val="20"/>
                <w:szCs w:val="20"/>
                <w:lang w:val="fr-CA"/>
              </w:rPr>
            </w:pPr>
            <w:r w:rsidRPr="004C1458">
              <w:rPr>
                <w:sz w:val="20"/>
                <w:szCs w:val="20"/>
                <w:lang w:val="fr-CA"/>
              </w:rPr>
              <w:t>Lien vers le modèle de développement et d’amélioration des écoles</w:t>
            </w:r>
          </w:p>
        </w:tc>
        <w:tc>
          <w:tcPr>
            <w:tcW w:w="1274" w:type="pct"/>
          </w:tcPr>
          <w:p w14:paraId="36AC4008" w14:textId="77777777" w:rsidR="005D2B78" w:rsidRPr="004C1458" w:rsidRDefault="000E7438" w:rsidP="00C2133C">
            <w:pPr>
              <w:rPr>
                <w:sz w:val="20"/>
                <w:szCs w:val="20"/>
                <w:lang w:val="fr-CA"/>
              </w:rPr>
            </w:pPr>
            <w:r w:rsidRPr="004C1458">
              <w:rPr>
                <w:sz w:val="20"/>
                <w:szCs w:val="20"/>
                <w:lang w:val="fr-CA"/>
              </w:rPr>
              <w:t>Liens relatifs à la santé vers le modèle de développement et d’amélioration des écoles, le cas échéant</w:t>
            </w:r>
          </w:p>
        </w:tc>
        <w:tc>
          <w:tcPr>
            <w:tcW w:w="696" w:type="pct"/>
          </w:tcPr>
          <w:p w14:paraId="09214B2D" w14:textId="77777777" w:rsidR="005D2B78" w:rsidRPr="004C1458" w:rsidRDefault="000E7438" w:rsidP="000E7438">
            <w:pPr>
              <w:rPr>
                <w:sz w:val="20"/>
                <w:szCs w:val="20"/>
                <w:lang w:val="fr-CA"/>
              </w:rPr>
            </w:pPr>
            <w:r w:rsidRPr="004C1458">
              <w:rPr>
                <w:sz w:val="20"/>
                <w:szCs w:val="20"/>
                <w:lang w:val="fr-CA"/>
              </w:rPr>
              <w:t>Les écoles soumettent-elles des plans et rapports annuels?</w:t>
            </w:r>
          </w:p>
        </w:tc>
        <w:tc>
          <w:tcPr>
            <w:tcW w:w="1037" w:type="pct"/>
          </w:tcPr>
          <w:p w14:paraId="5D4DAFC6" w14:textId="77777777" w:rsidR="005D2B78" w:rsidRPr="004C1458" w:rsidRDefault="000E7438" w:rsidP="00C2133C">
            <w:pPr>
              <w:rPr>
                <w:sz w:val="20"/>
                <w:szCs w:val="20"/>
                <w:lang w:val="fr-CA"/>
              </w:rPr>
            </w:pPr>
            <w:r w:rsidRPr="004C1458">
              <w:rPr>
                <w:sz w:val="20"/>
                <w:szCs w:val="20"/>
                <w:lang w:val="fr-CA"/>
              </w:rPr>
              <w:t>Les plans font-ils l’objet d’une évaluation?</w:t>
            </w:r>
          </w:p>
        </w:tc>
      </w:tr>
      <w:tr w:rsidR="005D2B78" w:rsidRPr="004C1458" w14:paraId="1B23B6F1" w14:textId="77777777" w:rsidTr="004D4ECE">
        <w:tc>
          <w:tcPr>
            <w:tcW w:w="814" w:type="pct"/>
          </w:tcPr>
          <w:p w14:paraId="77F35F12" w14:textId="77777777" w:rsidR="005D2B78" w:rsidRPr="004C1458" w:rsidRDefault="00684F61" w:rsidP="00C2133C">
            <w:pPr>
              <w:rPr>
                <w:sz w:val="20"/>
                <w:szCs w:val="20"/>
                <w:lang w:val="fr-CA"/>
              </w:rPr>
            </w:pPr>
            <w:r w:rsidRPr="004C1458">
              <w:rPr>
                <w:sz w:val="20"/>
                <w:szCs w:val="20"/>
                <w:lang w:val="fr-CA"/>
              </w:rPr>
              <w:fldChar w:fldCharType="begin">
                <w:ffData>
                  <w:name w:val="Text1"/>
                  <w:enabled/>
                  <w:calcOnExit w:val="0"/>
                  <w:textInput/>
                </w:ffData>
              </w:fldChar>
            </w:r>
            <w:bookmarkStart w:id="0" w:name="Text1"/>
            <w:r w:rsidR="00C2133C" w:rsidRPr="004C1458">
              <w:rPr>
                <w:sz w:val="20"/>
                <w:szCs w:val="20"/>
                <w:lang w:val="fr-CA"/>
              </w:rPr>
              <w:instrText xml:space="preserve"> FORMTEXT </w:instrText>
            </w:r>
            <w:r w:rsidRPr="004C1458">
              <w:rPr>
                <w:sz w:val="20"/>
                <w:szCs w:val="20"/>
                <w:lang w:val="fr-CA"/>
              </w:rPr>
            </w:r>
            <w:r w:rsidRPr="004C1458">
              <w:rPr>
                <w:sz w:val="20"/>
                <w:szCs w:val="20"/>
                <w:lang w:val="fr-CA"/>
              </w:rPr>
              <w:fldChar w:fldCharType="separate"/>
            </w:r>
            <w:r w:rsidR="00C2133C" w:rsidRPr="004C1458">
              <w:rPr>
                <w:sz w:val="20"/>
                <w:szCs w:val="20"/>
                <w:lang w:val="fr-CA"/>
              </w:rPr>
              <w:t> </w:t>
            </w:r>
            <w:r w:rsidR="00C2133C" w:rsidRPr="004C1458">
              <w:rPr>
                <w:sz w:val="20"/>
                <w:szCs w:val="20"/>
                <w:lang w:val="fr-CA"/>
              </w:rPr>
              <w:t> </w:t>
            </w:r>
            <w:r w:rsidR="00C2133C" w:rsidRPr="004C1458">
              <w:rPr>
                <w:sz w:val="20"/>
                <w:szCs w:val="20"/>
                <w:lang w:val="fr-CA"/>
              </w:rPr>
              <w:t> </w:t>
            </w:r>
            <w:r w:rsidR="00C2133C" w:rsidRPr="004C1458">
              <w:rPr>
                <w:sz w:val="20"/>
                <w:szCs w:val="20"/>
                <w:lang w:val="fr-CA"/>
              </w:rPr>
              <w:t> </w:t>
            </w:r>
            <w:r w:rsidR="00C2133C" w:rsidRPr="004C1458">
              <w:rPr>
                <w:sz w:val="20"/>
                <w:szCs w:val="20"/>
                <w:lang w:val="fr-CA"/>
              </w:rPr>
              <w:t> </w:t>
            </w:r>
            <w:r w:rsidRPr="004C1458">
              <w:rPr>
                <w:sz w:val="20"/>
                <w:szCs w:val="20"/>
                <w:lang w:val="fr-CA"/>
              </w:rPr>
              <w:fldChar w:fldCharType="end"/>
            </w:r>
            <w:bookmarkEnd w:id="0"/>
          </w:p>
        </w:tc>
        <w:tc>
          <w:tcPr>
            <w:tcW w:w="1179" w:type="pct"/>
          </w:tcPr>
          <w:p w14:paraId="4E9324E2" w14:textId="77777777" w:rsidR="005D2B78" w:rsidRPr="004C1458" w:rsidRDefault="00684F61" w:rsidP="00C2133C">
            <w:pPr>
              <w:rPr>
                <w:sz w:val="20"/>
                <w:szCs w:val="20"/>
                <w:lang w:val="fr-CA"/>
              </w:rPr>
            </w:pPr>
            <w:r w:rsidRPr="004C1458">
              <w:rPr>
                <w:sz w:val="20"/>
                <w:szCs w:val="20"/>
                <w:lang w:val="fr-CA"/>
              </w:rPr>
              <w:fldChar w:fldCharType="begin">
                <w:ffData>
                  <w:name w:val="Text2"/>
                  <w:enabled/>
                  <w:calcOnExit w:val="0"/>
                  <w:textInput/>
                </w:ffData>
              </w:fldChar>
            </w:r>
            <w:bookmarkStart w:id="1" w:name="Text2"/>
            <w:r w:rsidR="00C2133C" w:rsidRPr="004C1458">
              <w:rPr>
                <w:sz w:val="20"/>
                <w:szCs w:val="20"/>
                <w:lang w:val="fr-CA"/>
              </w:rPr>
              <w:instrText xml:space="preserve"> FORMTEXT </w:instrText>
            </w:r>
            <w:r w:rsidRPr="004C1458">
              <w:rPr>
                <w:sz w:val="20"/>
                <w:szCs w:val="20"/>
                <w:lang w:val="fr-CA"/>
              </w:rPr>
            </w:r>
            <w:r w:rsidRPr="004C1458">
              <w:rPr>
                <w:sz w:val="20"/>
                <w:szCs w:val="20"/>
                <w:lang w:val="fr-CA"/>
              </w:rPr>
              <w:fldChar w:fldCharType="separate"/>
            </w:r>
            <w:r w:rsidR="00C2133C" w:rsidRPr="004C1458">
              <w:rPr>
                <w:sz w:val="20"/>
                <w:szCs w:val="20"/>
                <w:lang w:val="fr-CA"/>
              </w:rPr>
              <w:t> </w:t>
            </w:r>
            <w:r w:rsidR="00C2133C" w:rsidRPr="004C1458">
              <w:rPr>
                <w:sz w:val="20"/>
                <w:szCs w:val="20"/>
                <w:lang w:val="fr-CA"/>
              </w:rPr>
              <w:t> </w:t>
            </w:r>
            <w:r w:rsidR="00C2133C" w:rsidRPr="004C1458">
              <w:rPr>
                <w:sz w:val="20"/>
                <w:szCs w:val="20"/>
                <w:lang w:val="fr-CA"/>
              </w:rPr>
              <w:t> </w:t>
            </w:r>
            <w:r w:rsidR="00C2133C" w:rsidRPr="004C1458">
              <w:rPr>
                <w:sz w:val="20"/>
                <w:szCs w:val="20"/>
                <w:lang w:val="fr-CA"/>
              </w:rPr>
              <w:t> </w:t>
            </w:r>
            <w:r w:rsidR="00C2133C" w:rsidRPr="004C1458">
              <w:rPr>
                <w:sz w:val="20"/>
                <w:szCs w:val="20"/>
                <w:lang w:val="fr-CA"/>
              </w:rPr>
              <w:t> </w:t>
            </w:r>
            <w:r w:rsidRPr="004C1458">
              <w:rPr>
                <w:sz w:val="20"/>
                <w:szCs w:val="20"/>
                <w:lang w:val="fr-CA"/>
              </w:rPr>
              <w:fldChar w:fldCharType="end"/>
            </w:r>
            <w:bookmarkEnd w:id="1"/>
          </w:p>
        </w:tc>
        <w:tc>
          <w:tcPr>
            <w:tcW w:w="1274" w:type="pct"/>
          </w:tcPr>
          <w:p w14:paraId="7DFAC8F1" w14:textId="77777777" w:rsidR="005D2B78" w:rsidRPr="004C1458" w:rsidRDefault="00684F61" w:rsidP="00C2133C">
            <w:pPr>
              <w:rPr>
                <w:sz w:val="20"/>
                <w:szCs w:val="20"/>
                <w:lang w:val="fr-CA"/>
              </w:rPr>
            </w:pPr>
            <w:r w:rsidRPr="004C1458">
              <w:rPr>
                <w:sz w:val="20"/>
                <w:szCs w:val="20"/>
                <w:lang w:val="fr-CA"/>
              </w:rPr>
              <w:fldChar w:fldCharType="begin">
                <w:ffData>
                  <w:name w:val="Text3"/>
                  <w:enabled/>
                  <w:calcOnExit w:val="0"/>
                  <w:textInput/>
                </w:ffData>
              </w:fldChar>
            </w:r>
            <w:bookmarkStart w:id="2" w:name="Text3"/>
            <w:r w:rsidR="00C2133C" w:rsidRPr="004C1458">
              <w:rPr>
                <w:sz w:val="20"/>
                <w:szCs w:val="20"/>
                <w:lang w:val="fr-CA"/>
              </w:rPr>
              <w:instrText xml:space="preserve"> FORMTEXT </w:instrText>
            </w:r>
            <w:r w:rsidRPr="004C1458">
              <w:rPr>
                <w:sz w:val="20"/>
                <w:szCs w:val="20"/>
                <w:lang w:val="fr-CA"/>
              </w:rPr>
            </w:r>
            <w:r w:rsidRPr="004C1458">
              <w:rPr>
                <w:sz w:val="20"/>
                <w:szCs w:val="20"/>
                <w:lang w:val="fr-CA"/>
              </w:rPr>
              <w:fldChar w:fldCharType="separate"/>
            </w:r>
            <w:r w:rsidR="00C2133C" w:rsidRPr="004C1458">
              <w:rPr>
                <w:sz w:val="20"/>
                <w:szCs w:val="20"/>
                <w:lang w:val="fr-CA"/>
              </w:rPr>
              <w:t> </w:t>
            </w:r>
            <w:r w:rsidR="00C2133C" w:rsidRPr="004C1458">
              <w:rPr>
                <w:sz w:val="20"/>
                <w:szCs w:val="20"/>
                <w:lang w:val="fr-CA"/>
              </w:rPr>
              <w:t> </w:t>
            </w:r>
            <w:r w:rsidR="00C2133C" w:rsidRPr="004C1458">
              <w:rPr>
                <w:sz w:val="20"/>
                <w:szCs w:val="20"/>
                <w:lang w:val="fr-CA"/>
              </w:rPr>
              <w:t> </w:t>
            </w:r>
            <w:r w:rsidR="00C2133C" w:rsidRPr="004C1458">
              <w:rPr>
                <w:sz w:val="20"/>
                <w:szCs w:val="20"/>
                <w:lang w:val="fr-CA"/>
              </w:rPr>
              <w:t> </w:t>
            </w:r>
            <w:r w:rsidR="00C2133C" w:rsidRPr="004C1458">
              <w:rPr>
                <w:sz w:val="20"/>
                <w:szCs w:val="20"/>
                <w:lang w:val="fr-CA"/>
              </w:rPr>
              <w:t> </w:t>
            </w:r>
            <w:r w:rsidRPr="004C1458">
              <w:rPr>
                <w:sz w:val="20"/>
                <w:szCs w:val="20"/>
                <w:lang w:val="fr-CA"/>
              </w:rPr>
              <w:fldChar w:fldCharType="end"/>
            </w:r>
            <w:bookmarkEnd w:id="2"/>
          </w:p>
        </w:tc>
        <w:tc>
          <w:tcPr>
            <w:tcW w:w="696" w:type="pct"/>
          </w:tcPr>
          <w:p w14:paraId="18FBB366" w14:textId="77777777" w:rsidR="005D2B78" w:rsidRPr="004C1458" w:rsidRDefault="00684F61" w:rsidP="00C2133C">
            <w:pPr>
              <w:rPr>
                <w:sz w:val="20"/>
                <w:szCs w:val="20"/>
                <w:lang w:val="fr-CA"/>
              </w:rPr>
            </w:pPr>
            <w:r w:rsidRPr="004C1458">
              <w:rPr>
                <w:sz w:val="20"/>
                <w:szCs w:val="20"/>
                <w:lang w:val="fr-CA"/>
              </w:rPr>
              <w:fldChar w:fldCharType="begin">
                <w:ffData>
                  <w:name w:val="Text4"/>
                  <w:enabled/>
                  <w:calcOnExit w:val="0"/>
                  <w:textInput/>
                </w:ffData>
              </w:fldChar>
            </w:r>
            <w:bookmarkStart w:id="3" w:name="Text4"/>
            <w:r w:rsidR="00C2133C" w:rsidRPr="004C1458">
              <w:rPr>
                <w:sz w:val="20"/>
                <w:szCs w:val="20"/>
                <w:lang w:val="fr-CA"/>
              </w:rPr>
              <w:instrText xml:space="preserve"> FORMTEXT </w:instrText>
            </w:r>
            <w:r w:rsidRPr="004C1458">
              <w:rPr>
                <w:sz w:val="20"/>
                <w:szCs w:val="20"/>
                <w:lang w:val="fr-CA"/>
              </w:rPr>
            </w:r>
            <w:r w:rsidRPr="004C1458">
              <w:rPr>
                <w:sz w:val="20"/>
                <w:szCs w:val="20"/>
                <w:lang w:val="fr-CA"/>
              </w:rPr>
              <w:fldChar w:fldCharType="separate"/>
            </w:r>
            <w:r w:rsidR="00C2133C" w:rsidRPr="004C1458">
              <w:rPr>
                <w:sz w:val="20"/>
                <w:szCs w:val="20"/>
                <w:lang w:val="fr-CA"/>
              </w:rPr>
              <w:t> </w:t>
            </w:r>
            <w:r w:rsidR="00C2133C" w:rsidRPr="004C1458">
              <w:rPr>
                <w:sz w:val="20"/>
                <w:szCs w:val="20"/>
                <w:lang w:val="fr-CA"/>
              </w:rPr>
              <w:t> </w:t>
            </w:r>
            <w:r w:rsidR="00C2133C" w:rsidRPr="004C1458">
              <w:rPr>
                <w:sz w:val="20"/>
                <w:szCs w:val="20"/>
                <w:lang w:val="fr-CA"/>
              </w:rPr>
              <w:t> </w:t>
            </w:r>
            <w:r w:rsidR="00C2133C" w:rsidRPr="004C1458">
              <w:rPr>
                <w:sz w:val="20"/>
                <w:szCs w:val="20"/>
                <w:lang w:val="fr-CA"/>
              </w:rPr>
              <w:t> </w:t>
            </w:r>
            <w:r w:rsidR="00C2133C" w:rsidRPr="004C1458">
              <w:rPr>
                <w:sz w:val="20"/>
                <w:szCs w:val="20"/>
                <w:lang w:val="fr-CA"/>
              </w:rPr>
              <w:t> </w:t>
            </w:r>
            <w:r w:rsidRPr="004C1458">
              <w:rPr>
                <w:sz w:val="20"/>
                <w:szCs w:val="20"/>
                <w:lang w:val="fr-CA"/>
              </w:rPr>
              <w:fldChar w:fldCharType="end"/>
            </w:r>
            <w:bookmarkEnd w:id="3"/>
          </w:p>
        </w:tc>
        <w:tc>
          <w:tcPr>
            <w:tcW w:w="1037" w:type="pct"/>
          </w:tcPr>
          <w:p w14:paraId="0B1E0EA0" w14:textId="77777777" w:rsidR="005D2B78" w:rsidRPr="004C1458" w:rsidRDefault="00684F61" w:rsidP="00C2133C">
            <w:pPr>
              <w:rPr>
                <w:sz w:val="20"/>
                <w:szCs w:val="20"/>
                <w:lang w:val="fr-CA"/>
              </w:rPr>
            </w:pPr>
            <w:r w:rsidRPr="004C1458">
              <w:rPr>
                <w:sz w:val="20"/>
                <w:szCs w:val="20"/>
                <w:lang w:val="fr-CA"/>
              </w:rPr>
              <w:fldChar w:fldCharType="begin">
                <w:ffData>
                  <w:name w:val="Text5"/>
                  <w:enabled/>
                  <w:calcOnExit w:val="0"/>
                  <w:textInput/>
                </w:ffData>
              </w:fldChar>
            </w:r>
            <w:bookmarkStart w:id="4" w:name="Text5"/>
            <w:r w:rsidR="004D4ECE" w:rsidRPr="004C1458">
              <w:rPr>
                <w:sz w:val="20"/>
                <w:szCs w:val="20"/>
                <w:lang w:val="fr-CA"/>
              </w:rPr>
              <w:instrText xml:space="preserve"> FORMTEXT </w:instrText>
            </w:r>
            <w:r w:rsidRPr="004C1458">
              <w:rPr>
                <w:sz w:val="20"/>
                <w:szCs w:val="20"/>
                <w:lang w:val="fr-CA"/>
              </w:rPr>
            </w:r>
            <w:r w:rsidRPr="004C1458">
              <w:rPr>
                <w:sz w:val="20"/>
                <w:szCs w:val="20"/>
                <w:lang w:val="fr-CA"/>
              </w:rPr>
              <w:fldChar w:fldCharType="separate"/>
            </w:r>
            <w:r w:rsidR="004D4ECE" w:rsidRPr="004C1458">
              <w:rPr>
                <w:sz w:val="20"/>
                <w:szCs w:val="20"/>
                <w:lang w:val="fr-CA"/>
              </w:rPr>
              <w:t> </w:t>
            </w:r>
            <w:r w:rsidR="004D4ECE" w:rsidRPr="004C1458">
              <w:rPr>
                <w:sz w:val="20"/>
                <w:szCs w:val="20"/>
                <w:lang w:val="fr-CA"/>
              </w:rPr>
              <w:t> </w:t>
            </w:r>
            <w:r w:rsidR="004D4ECE" w:rsidRPr="004C1458">
              <w:rPr>
                <w:sz w:val="20"/>
                <w:szCs w:val="20"/>
                <w:lang w:val="fr-CA"/>
              </w:rPr>
              <w:t> </w:t>
            </w:r>
            <w:r w:rsidR="004D4ECE" w:rsidRPr="004C1458">
              <w:rPr>
                <w:sz w:val="20"/>
                <w:szCs w:val="20"/>
                <w:lang w:val="fr-CA"/>
              </w:rPr>
              <w:t> </w:t>
            </w:r>
            <w:r w:rsidR="004D4ECE" w:rsidRPr="004C1458">
              <w:rPr>
                <w:sz w:val="20"/>
                <w:szCs w:val="20"/>
                <w:lang w:val="fr-CA"/>
              </w:rPr>
              <w:t> </w:t>
            </w:r>
            <w:r w:rsidRPr="004C1458">
              <w:rPr>
                <w:sz w:val="20"/>
                <w:szCs w:val="20"/>
                <w:lang w:val="fr-CA"/>
              </w:rPr>
              <w:fldChar w:fldCharType="end"/>
            </w:r>
            <w:bookmarkEnd w:id="4"/>
          </w:p>
        </w:tc>
      </w:tr>
      <w:tr w:rsidR="005D2B78" w:rsidRPr="004C1458" w14:paraId="778D6841" w14:textId="77777777" w:rsidTr="004D4ECE">
        <w:tc>
          <w:tcPr>
            <w:tcW w:w="814" w:type="pct"/>
          </w:tcPr>
          <w:p w14:paraId="442DF279" w14:textId="77777777" w:rsidR="005D2B78" w:rsidRPr="004C1458" w:rsidRDefault="00684F61" w:rsidP="00C2133C">
            <w:pPr>
              <w:rPr>
                <w:sz w:val="20"/>
                <w:szCs w:val="20"/>
                <w:lang w:val="fr-CA"/>
              </w:rPr>
            </w:pPr>
            <w:r w:rsidRPr="004C1458">
              <w:rPr>
                <w:sz w:val="20"/>
                <w:szCs w:val="20"/>
                <w:lang w:val="fr-CA"/>
              </w:rPr>
              <w:fldChar w:fldCharType="begin">
                <w:ffData>
                  <w:name w:val="Text6"/>
                  <w:enabled/>
                  <w:calcOnExit w:val="0"/>
                  <w:textInput/>
                </w:ffData>
              </w:fldChar>
            </w:r>
            <w:bookmarkStart w:id="5" w:name="Text6"/>
            <w:r w:rsidR="004D4ECE" w:rsidRPr="004C1458">
              <w:rPr>
                <w:sz w:val="20"/>
                <w:szCs w:val="20"/>
                <w:lang w:val="fr-CA"/>
              </w:rPr>
              <w:instrText xml:space="preserve"> FORMTEXT </w:instrText>
            </w:r>
            <w:r w:rsidRPr="004C1458">
              <w:rPr>
                <w:sz w:val="20"/>
                <w:szCs w:val="20"/>
                <w:lang w:val="fr-CA"/>
              </w:rPr>
            </w:r>
            <w:r w:rsidRPr="004C1458">
              <w:rPr>
                <w:sz w:val="20"/>
                <w:szCs w:val="20"/>
                <w:lang w:val="fr-CA"/>
              </w:rPr>
              <w:fldChar w:fldCharType="separate"/>
            </w:r>
            <w:r w:rsidR="004D4ECE" w:rsidRPr="004C1458">
              <w:rPr>
                <w:sz w:val="20"/>
                <w:szCs w:val="20"/>
                <w:lang w:val="fr-CA"/>
              </w:rPr>
              <w:t> </w:t>
            </w:r>
            <w:r w:rsidR="004D4ECE" w:rsidRPr="004C1458">
              <w:rPr>
                <w:sz w:val="20"/>
                <w:szCs w:val="20"/>
                <w:lang w:val="fr-CA"/>
              </w:rPr>
              <w:t> </w:t>
            </w:r>
            <w:r w:rsidR="004D4ECE" w:rsidRPr="004C1458">
              <w:rPr>
                <w:sz w:val="20"/>
                <w:szCs w:val="20"/>
                <w:lang w:val="fr-CA"/>
              </w:rPr>
              <w:t> </w:t>
            </w:r>
            <w:r w:rsidR="004D4ECE" w:rsidRPr="004C1458">
              <w:rPr>
                <w:sz w:val="20"/>
                <w:szCs w:val="20"/>
                <w:lang w:val="fr-CA"/>
              </w:rPr>
              <w:t> </w:t>
            </w:r>
            <w:r w:rsidR="004D4ECE" w:rsidRPr="004C1458">
              <w:rPr>
                <w:sz w:val="20"/>
                <w:szCs w:val="20"/>
                <w:lang w:val="fr-CA"/>
              </w:rPr>
              <w:t> </w:t>
            </w:r>
            <w:r w:rsidRPr="004C1458">
              <w:rPr>
                <w:sz w:val="20"/>
                <w:szCs w:val="20"/>
                <w:lang w:val="fr-CA"/>
              </w:rPr>
              <w:fldChar w:fldCharType="end"/>
            </w:r>
            <w:bookmarkEnd w:id="5"/>
          </w:p>
        </w:tc>
        <w:tc>
          <w:tcPr>
            <w:tcW w:w="1179" w:type="pct"/>
          </w:tcPr>
          <w:p w14:paraId="31BBEB44" w14:textId="77777777" w:rsidR="005D2B78" w:rsidRPr="004C1458" w:rsidRDefault="00684F61" w:rsidP="00C2133C">
            <w:pPr>
              <w:rPr>
                <w:sz w:val="20"/>
                <w:szCs w:val="20"/>
                <w:lang w:val="fr-CA"/>
              </w:rPr>
            </w:pPr>
            <w:r w:rsidRPr="004C1458">
              <w:rPr>
                <w:sz w:val="20"/>
                <w:szCs w:val="20"/>
                <w:lang w:val="fr-CA"/>
              </w:rPr>
              <w:fldChar w:fldCharType="begin">
                <w:ffData>
                  <w:name w:val="Text7"/>
                  <w:enabled/>
                  <w:calcOnExit w:val="0"/>
                  <w:textInput/>
                </w:ffData>
              </w:fldChar>
            </w:r>
            <w:bookmarkStart w:id="6" w:name="Text7"/>
            <w:r w:rsidR="004D4ECE" w:rsidRPr="004C1458">
              <w:rPr>
                <w:sz w:val="20"/>
                <w:szCs w:val="20"/>
                <w:lang w:val="fr-CA"/>
              </w:rPr>
              <w:instrText xml:space="preserve"> FORMTEXT </w:instrText>
            </w:r>
            <w:r w:rsidRPr="004C1458">
              <w:rPr>
                <w:sz w:val="20"/>
                <w:szCs w:val="20"/>
                <w:lang w:val="fr-CA"/>
              </w:rPr>
            </w:r>
            <w:r w:rsidRPr="004C1458">
              <w:rPr>
                <w:sz w:val="20"/>
                <w:szCs w:val="20"/>
                <w:lang w:val="fr-CA"/>
              </w:rPr>
              <w:fldChar w:fldCharType="separate"/>
            </w:r>
            <w:r w:rsidR="004D4ECE" w:rsidRPr="004C1458">
              <w:rPr>
                <w:sz w:val="20"/>
                <w:szCs w:val="20"/>
                <w:lang w:val="fr-CA"/>
              </w:rPr>
              <w:t> </w:t>
            </w:r>
            <w:r w:rsidR="004D4ECE" w:rsidRPr="004C1458">
              <w:rPr>
                <w:sz w:val="20"/>
                <w:szCs w:val="20"/>
                <w:lang w:val="fr-CA"/>
              </w:rPr>
              <w:t> </w:t>
            </w:r>
            <w:r w:rsidR="004D4ECE" w:rsidRPr="004C1458">
              <w:rPr>
                <w:sz w:val="20"/>
                <w:szCs w:val="20"/>
                <w:lang w:val="fr-CA"/>
              </w:rPr>
              <w:t> </w:t>
            </w:r>
            <w:r w:rsidR="004D4ECE" w:rsidRPr="004C1458">
              <w:rPr>
                <w:sz w:val="20"/>
                <w:szCs w:val="20"/>
                <w:lang w:val="fr-CA"/>
              </w:rPr>
              <w:t> </w:t>
            </w:r>
            <w:r w:rsidR="004D4ECE" w:rsidRPr="004C1458">
              <w:rPr>
                <w:sz w:val="20"/>
                <w:szCs w:val="20"/>
                <w:lang w:val="fr-CA"/>
              </w:rPr>
              <w:t> </w:t>
            </w:r>
            <w:r w:rsidRPr="004C1458">
              <w:rPr>
                <w:sz w:val="20"/>
                <w:szCs w:val="20"/>
                <w:lang w:val="fr-CA"/>
              </w:rPr>
              <w:fldChar w:fldCharType="end"/>
            </w:r>
            <w:bookmarkEnd w:id="6"/>
          </w:p>
        </w:tc>
        <w:tc>
          <w:tcPr>
            <w:tcW w:w="1274" w:type="pct"/>
          </w:tcPr>
          <w:p w14:paraId="113D6B58" w14:textId="77777777" w:rsidR="005D2B78" w:rsidRPr="004C1458" w:rsidRDefault="00684F61" w:rsidP="00C2133C">
            <w:pPr>
              <w:rPr>
                <w:sz w:val="20"/>
                <w:szCs w:val="20"/>
                <w:lang w:val="fr-CA"/>
              </w:rPr>
            </w:pPr>
            <w:r w:rsidRPr="004C1458">
              <w:rPr>
                <w:sz w:val="20"/>
                <w:szCs w:val="20"/>
                <w:lang w:val="fr-CA"/>
              </w:rPr>
              <w:fldChar w:fldCharType="begin">
                <w:ffData>
                  <w:name w:val="Text8"/>
                  <w:enabled/>
                  <w:calcOnExit w:val="0"/>
                  <w:textInput/>
                </w:ffData>
              </w:fldChar>
            </w:r>
            <w:bookmarkStart w:id="7" w:name="Text8"/>
            <w:r w:rsidR="004D4ECE" w:rsidRPr="004C1458">
              <w:rPr>
                <w:sz w:val="20"/>
                <w:szCs w:val="20"/>
                <w:lang w:val="fr-CA"/>
              </w:rPr>
              <w:instrText xml:space="preserve"> FORMTEXT </w:instrText>
            </w:r>
            <w:r w:rsidRPr="004C1458">
              <w:rPr>
                <w:sz w:val="20"/>
                <w:szCs w:val="20"/>
                <w:lang w:val="fr-CA"/>
              </w:rPr>
            </w:r>
            <w:r w:rsidRPr="004C1458">
              <w:rPr>
                <w:sz w:val="20"/>
                <w:szCs w:val="20"/>
                <w:lang w:val="fr-CA"/>
              </w:rPr>
              <w:fldChar w:fldCharType="separate"/>
            </w:r>
            <w:r w:rsidR="004D4ECE" w:rsidRPr="004C1458">
              <w:rPr>
                <w:sz w:val="20"/>
                <w:szCs w:val="20"/>
                <w:lang w:val="fr-CA"/>
              </w:rPr>
              <w:t> </w:t>
            </w:r>
            <w:r w:rsidR="004D4ECE" w:rsidRPr="004C1458">
              <w:rPr>
                <w:sz w:val="20"/>
                <w:szCs w:val="20"/>
                <w:lang w:val="fr-CA"/>
              </w:rPr>
              <w:t> </w:t>
            </w:r>
            <w:r w:rsidR="004D4ECE" w:rsidRPr="004C1458">
              <w:rPr>
                <w:sz w:val="20"/>
                <w:szCs w:val="20"/>
                <w:lang w:val="fr-CA"/>
              </w:rPr>
              <w:t> </w:t>
            </w:r>
            <w:r w:rsidR="004D4ECE" w:rsidRPr="004C1458">
              <w:rPr>
                <w:sz w:val="20"/>
                <w:szCs w:val="20"/>
                <w:lang w:val="fr-CA"/>
              </w:rPr>
              <w:t> </w:t>
            </w:r>
            <w:r w:rsidR="004D4ECE" w:rsidRPr="004C1458">
              <w:rPr>
                <w:sz w:val="20"/>
                <w:szCs w:val="20"/>
                <w:lang w:val="fr-CA"/>
              </w:rPr>
              <w:t> </w:t>
            </w:r>
            <w:r w:rsidRPr="004C1458">
              <w:rPr>
                <w:sz w:val="20"/>
                <w:szCs w:val="20"/>
                <w:lang w:val="fr-CA"/>
              </w:rPr>
              <w:fldChar w:fldCharType="end"/>
            </w:r>
            <w:bookmarkEnd w:id="7"/>
          </w:p>
        </w:tc>
        <w:tc>
          <w:tcPr>
            <w:tcW w:w="696" w:type="pct"/>
          </w:tcPr>
          <w:p w14:paraId="7C4BC810" w14:textId="77777777" w:rsidR="005D2B78" w:rsidRPr="004C1458" w:rsidRDefault="00684F61" w:rsidP="00C2133C">
            <w:pPr>
              <w:rPr>
                <w:sz w:val="20"/>
                <w:szCs w:val="20"/>
                <w:lang w:val="fr-CA"/>
              </w:rPr>
            </w:pPr>
            <w:r w:rsidRPr="004C1458">
              <w:rPr>
                <w:sz w:val="20"/>
                <w:szCs w:val="20"/>
                <w:lang w:val="fr-CA"/>
              </w:rPr>
              <w:fldChar w:fldCharType="begin">
                <w:ffData>
                  <w:name w:val="Text9"/>
                  <w:enabled/>
                  <w:calcOnExit w:val="0"/>
                  <w:textInput/>
                </w:ffData>
              </w:fldChar>
            </w:r>
            <w:bookmarkStart w:id="8" w:name="Text9"/>
            <w:r w:rsidR="004D4ECE" w:rsidRPr="004C1458">
              <w:rPr>
                <w:sz w:val="20"/>
                <w:szCs w:val="20"/>
                <w:lang w:val="fr-CA"/>
              </w:rPr>
              <w:instrText xml:space="preserve"> FORMTEXT </w:instrText>
            </w:r>
            <w:r w:rsidRPr="004C1458">
              <w:rPr>
                <w:sz w:val="20"/>
                <w:szCs w:val="20"/>
                <w:lang w:val="fr-CA"/>
              </w:rPr>
            </w:r>
            <w:r w:rsidRPr="004C1458">
              <w:rPr>
                <w:sz w:val="20"/>
                <w:szCs w:val="20"/>
                <w:lang w:val="fr-CA"/>
              </w:rPr>
              <w:fldChar w:fldCharType="separate"/>
            </w:r>
            <w:r w:rsidR="004D4ECE" w:rsidRPr="004C1458">
              <w:rPr>
                <w:sz w:val="20"/>
                <w:szCs w:val="20"/>
                <w:lang w:val="fr-CA"/>
              </w:rPr>
              <w:t> </w:t>
            </w:r>
            <w:r w:rsidR="004D4ECE" w:rsidRPr="004C1458">
              <w:rPr>
                <w:sz w:val="20"/>
                <w:szCs w:val="20"/>
                <w:lang w:val="fr-CA"/>
              </w:rPr>
              <w:t> </w:t>
            </w:r>
            <w:r w:rsidR="004D4ECE" w:rsidRPr="004C1458">
              <w:rPr>
                <w:sz w:val="20"/>
                <w:szCs w:val="20"/>
                <w:lang w:val="fr-CA"/>
              </w:rPr>
              <w:t> </w:t>
            </w:r>
            <w:r w:rsidR="004D4ECE" w:rsidRPr="004C1458">
              <w:rPr>
                <w:sz w:val="20"/>
                <w:szCs w:val="20"/>
                <w:lang w:val="fr-CA"/>
              </w:rPr>
              <w:t> </w:t>
            </w:r>
            <w:r w:rsidR="004D4ECE" w:rsidRPr="004C1458">
              <w:rPr>
                <w:sz w:val="20"/>
                <w:szCs w:val="20"/>
                <w:lang w:val="fr-CA"/>
              </w:rPr>
              <w:t> </w:t>
            </w:r>
            <w:r w:rsidRPr="004C1458">
              <w:rPr>
                <w:sz w:val="20"/>
                <w:szCs w:val="20"/>
                <w:lang w:val="fr-CA"/>
              </w:rPr>
              <w:fldChar w:fldCharType="end"/>
            </w:r>
            <w:bookmarkEnd w:id="8"/>
          </w:p>
        </w:tc>
        <w:tc>
          <w:tcPr>
            <w:tcW w:w="1037" w:type="pct"/>
          </w:tcPr>
          <w:p w14:paraId="0246F764" w14:textId="77777777" w:rsidR="005D2B78" w:rsidRPr="004C1458" w:rsidRDefault="00684F61" w:rsidP="00C2133C">
            <w:pPr>
              <w:rPr>
                <w:sz w:val="20"/>
                <w:szCs w:val="20"/>
                <w:lang w:val="fr-CA"/>
              </w:rPr>
            </w:pPr>
            <w:r w:rsidRPr="004C1458">
              <w:rPr>
                <w:sz w:val="20"/>
                <w:szCs w:val="20"/>
                <w:lang w:val="fr-CA"/>
              </w:rPr>
              <w:fldChar w:fldCharType="begin">
                <w:ffData>
                  <w:name w:val="Text10"/>
                  <w:enabled/>
                  <w:calcOnExit w:val="0"/>
                  <w:textInput/>
                </w:ffData>
              </w:fldChar>
            </w:r>
            <w:bookmarkStart w:id="9" w:name="Text10"/>
            <w:r w:rsidR="004D4ECE" w:rsidRPr="004C1458">
              <w:rPr>
                <w:sz w:val="20"/>
                <w:szCs w:val="20"/>
                <w:lang w:val="fr-CA"/>
              </w:rPr>
              <w:instrText xml:space="preserve"> FORMTEXT </w:instrText>
            </w:r>
            <w:r w:rsidRPr="004C1458">
              <w:rPr>
                <w:sz w:val="20"/>
                <w:szCs w:val="20"/>
                <w:lang w:val="fr-CA"/>
              </w:rPr>
            </w:r>
            <w:r w:rsidRPr="004C1458">
              <w:rPr>
                <w:sz w:val="20"/>
                <w:szCs w:val="20"/>
                <w:lang w:val="fr-CA"/>
              </w:rPr>
              <w:fldChar w:fldCharType="separate"/>
            </w:r>
            <w:r w:rsidR="004D4ECE" w:rsidRPr="004C1458">
              <w:rPr>
                <w:sz w:val="20"/>
                <w:szCs w:val="20"/>
                <w:lang w:val="fr-CA"/>
              </w:rPr>
              <w:t> </w:t>
            </w:r>
            <w:r w:rsidR="004D4ECE" w:rsidRPr="004C1458">
              <w:rPr>
                <w:sz w:val="20"/>
                <w:szCs w:val="20"/>
                <w:lang w:val="fr-CA"/>
              </w:rPr>
              <w:t> </w:t>
            </w:r>
            <w:r w:rsidR="004D4ECE" w:rsidRPr="004C1458">
              <w:rPr>
                <w:sz w:val="20"/>
                <w:szCs w:val="20"/>
                <w:lang w:val="fr-CA"/>
              </w:rPr>
              <w:t> </w:t>
            </w:r>
            <w:r w:rsidR="004D4ECE" w:rsidRPr="004C1458">
              <w:rPr>
                <w:sz w:val="20"/>
                <w:szCs w:val="20"/>
                <w:lang w:val="fr-CA"/>
              </w:rPr>
              <w:t> </w:t>
            </w:r>
            <w:r w:rsidR="004D4ECE" w:rsidRPr="004C1458">
              <w:rPr>
                <w:sz w:val="20"/>
                <w:szCs w:val="20"/>
                <w:lang w:val="fr-CA"/>
              </w:rPr>
              <w:t> </w:t>
            </w:r>
            <w:r w:rsidRPr="004C1458">
              <w:rPr>
                <w:sz w:val="20"/>
                <w:szCs w:val="20"/>
                <w:lang w:val="fr-CA"/>
              </w:rPr>
              <w:fldChar w:fldCharType="end"/>
            </w:r>
            <w:bookmarkEnd w:id="9"/>
          </w:p>
        </w:tc>
      </w:tr>
      <w:tr w:rsidR="004D4ECE" w:rsidRPr="00C65065" w14:paraId="05316EC4" w14:textId="77777777" w:rsidTr="004D4ECE">
        <w:tc>
          <w:tcPr>
            <w:tcW w:w="814" w:type="pct"/>
          </w:tcPr>
          <w:p w14:paraId="06E576E9" w14:textId="77777777" w:rsidR="004D4ECE" w:rsidRPr="004C1458" w:rsidRDefault="00684F61" w:rsidP="004D4ECE">
            <w:pPr>
              <w:rPr>
                <w:sz w:val="20"/>
                <w:szCs w:val="20"/>
                <w:lang w:val="fr-CA"/>
              </w:rPr>
            </w:pPr>
            <w:r w:rsidRPr="004C1458">
              <w:rPr>
                <w:sz w:val="20"/>
                <w:szCs w:val="20"/>
                <w:lang w:val="fr-CA"/>
              </w:rPr>
              <w:fldChar w:fldCharType="begin">
                <w:ffData>
                  <w:name w:val="Text6"/>
                  <w:enabled/>
                  <w:calcOnExit w:val="0"/>
                  <w:textInput/>
                </w:ffData>
              </w:fldChar>
            </w:r>
            <w:r w:rsidR="004D4ECE" w:rsidRPr="004C1458">
              <w:rPr>
                <w:sz w:val="20"/>
                <w:szCs w:val="20"/>
                <w:lang w:val="fr-CA"/>
              </w:rPr>
              <w:instrText xml:space="preserve"> FORMTEXT </w:instrText>
            </w:r>
            <w:r w:rsidRPr="004C1458">
              <w:rPr>
                <w:sz w:val="20"/>
                <w:szCs w:val="20"/>
                <w:lang w:val="fr-CA"/>
              </w:rPr>
            </w:r>
            <w:r w:rsidRPr="004C1458">
              <w:rPr>
                <w:sz w:val="20"/>
                <w:szCs w:val="20"/>
                <w:lang w:val="fr-CA"/>
              </w:rPr>
              <w:fldChar w:fldCharType="separate"/>
            </w:r>
            <w:r w:rsidR="004D4ECE" w:rsidRPr="004C1458">
              <w:rPr>
                <w:sz w:val="20"/>
                <w:szCs w:val="20"/>
                <w:lang w:val="fr-CA"/>
              </w:rPr>
              <w:t> </w:t>
            </w:r>
            <w:r w:rsidR="004D4ECE" w:rsidRPr="004C1458">
              <w:rPr>
                <w:sz w:val="20"/>
                <w:szCs w:val="20"/>
                <w:lang w:val="fr-CA"/>
              </w:rPr>
              <w:t> </w:t>
            </w:r>
            <w:r w:rsidR="004D4ECE" w:rsidRPr="004C1458">
              <w:rPr>
                <w:sz w:val="20"/>
                <w:szCs w:val="20"/>
                <w:lang w:val="fr-CA"/>
              </w:rPr>
              <w:t> </w:t>
            </w:r>
            <w:r w:rsidR="004D4ECE" w:rsidRPr="004C1458">
              <w:rPr>
                <w:sz w:val="20"/>
                <w:szCs w:val="20"/>
                <w:lang w:val="fr-CA"/>
              </w:rPr>
              <w:t> </w:t>
            </w:r>
            <w:r w:rsidR="004D4ECE" w:rsidRPr="004C1458">
              <w:rPr>
                <w:sz w:val="20"/>
                <w:szCs w:val="20"/>
                <w:lang w:val="fr-CA"/>
              </w:rPr>
              <w:t> </w:t>
            </w:r>
            <w:r w:rsidRPr="004C1458">
              <w:rPr>
                <w:sz w:val="20"/>
                <w:szCs w:val="20"/>
                <w:lang w:val="fr-CA"/>
              </w:rPr>
              <w:fldChar w:fldCharType="end"/>
            </w:r>
          </w:p>
        </w:tc>
        <w:tc>
          <w:tcPr>
            <w:tcW w:w="1179" w:type="pct"/>
          </w:tcPr>
          <w:p w14:paraId="2C0F856A" w14:textId="77777777" w:rsidR="004D4ECE" w:rsidRPr="004C1458" w:rsidRDefault="00684F61" w:rsidP="004D4ECE">
            <w:pPr>
              <w:rPr>
                <w:sz w:val="20"/>
                <w:szCs w:val="20"/>
                <w:lang w:val="fr-CA"/>
              </w:rPr>
            </w:pPr>
            <w:r w:rsidRPr="004C1458">
              <w:rPr>
                <w:sz w:val="20"/>
                <w:szCs w:val="20"/>
                <w:lang w:val="fr-CA"/>
              </w:rPr>
              <w:fldChar w:fldCharType="begin">
                <w:ffData>
                  <w:name w:val="Text7"/>
                  <w:enabled/>
                  <w:calcOnExit w:val="0"/>
                  <w:textInput/>
                </w:ffData>
              </w:fldChar>
            </w:r>
            <w:r w:rsidR="004D4ECE" w:rsidRPr="004C1458">
              <w:rPr>
                <w:sz w:val="20"/>
                <w:szCs w:val="20"/>
                <w:lang w:val="fr-CA"/>
              </w:rPr>
              <w:instrText xml:space="preserve"> FORMTEXT </w:instrText>
            </w:r>
            <w:r w:rsidRPr="004C1458">
              <w:rPr>
                <w:sz w:val="20"/>
                <w:szCs w:val="20"/>
                <w:lang w:val="fr-CA"/>
              </w:rPr>
            </w:r>
            <w:r w:rsidRPr="004C1458">
              <w:rPr>
                <w:sz w:val="20"/>
                <w:szCs w:val="20"/>
                <w:lang w:val="fr-CA"/>
              </w:rPr>
              <w:fldChar w:fldCharType="separate"/>
            </w:r>
            <w:r w:rsidR="004D4ECE" w:rsidRPr="004C1458">
              <w:rPr>
                <w:sz w:val="20"/>
                <w:szCs w:val="20"/>
                <w:lang w:val="fr-CA"/>
              </w:rPr>
              <w:t> </w:t>
            </w:r>
            <w:r w:rsidR="004D4ECE" w:rsidRPr="004C1458">
              <w:rPr>
                <w:sz w:val="20"/>
                <w:szCs w:val="20"/>
                <w:lang w:val="fr-CA"/>
              </w:rPr>
              <w:t> </w:t>
            </w:r>
            <w:r w:rsidR="004D4ECE" w:rsidRPr="004C1458">
              <w:rPr>
                <w:sz w:val="20"/>
                <w:szCs w:val="20"/>
                <w:lang w:val="fr-CA"/>
              </w:rPr>
              <w:t> </w:t>
            </w:r>
            <w:r w:rsidR="004D4ECE" w:rsidRPr="004C1458">
              <w:rPr>
                <w:sz w:val="20"/>
                <w:szCs w:val="20"/>
                <w:lang w:val="fr-CA"/>
              </w:rPr>
              <w:t> </w:t>
            </w:r>
            <w:r w:rsidR="004D4ECE" w:rsidRPr="004C1458">
              <w:rPr>
                <w:sz w:val="20"/>
                <w:szCs w:val="20"/>
                <w:lang w:val="fr-CA"/>
              </w:rPr>
              <w:t> </w:t>
            </w:r>
            <w:r w:rsidRPr="004C1458">
              <w:rPr>
                <w:sz w:val="20"/>
                <w:szCs w:val="20"/>
                <w:lang w:val="fr-CA"/>
              </w:rPr>
              <w:fldChar w:fldCharType="end"/>
            </w:r>
          </w:p>
        </w:tc>
        <w:tc>
          <w:tcPr>
            <w:tcW w:w="1274" w:type="pct"/>
          </w:tcPr>
          <w:p w14:paraId="6A7DF2E5" w14:textId="77777777" w:rsidR="004D4ECE" w:rsidRPr="004C1458" w:rsidRDefault="00684F61" w:rsidP="004D4ECE">
            <w:pPr>
              <w:rPr>
                <w:sz w:val="20"/>
                <w:szCs w:val="20"/>
                <w:lang w:val="fr-CA"/>
              </w:rPr>
            </w:pPr>
            <w:r w:rsidRPr="004C1458">
              <w:rPr>
                <w:sz w:val="20"/>
                <w:szCs w:val="20"/>
                <w:lang w:val="fr-CA"/>
              </w:rPr>
              <w:fldChar w:fldCharType="begin">
                <w:ffData>
                  <w:name w:val="Text8"/>
                  <w:enabled/>
                  <w:calcOnExit w:val="0"/>
                  <w:textInput/>
                </w:ffData>
              </w:fldChar>
            </w:r>
            <w:r w:rsidR="004D4ECE" w:rsidRPr="004C1458">
              <w:rPr>
                <w:sz w:val="20"/>
                <w:szCs w:val="20"/>
                <w:lang w:val="fr-CA"/>
              </w:rPr>
              <w:instrText xml:space="preserve"> FORMTEXT </w:instrText>
            </w:r>
            <w:r w:rsidRPr="004C1458">
              <w:rPr>
                <w:sz w:val="20"/>
                <w:szCs w:val="20"/>
                <w:lang w:val="fr-CA"/>
              </w:rPr>
            </w:r>
            <w:r w:rsidRPr="004C1458">
              <w:rPr>
                <w:sz w:val="20"/>
                <w:szCs w:val="20"/>
                <w:lang w:val="fr-CA"/>
              </w:rPr>
              <w:fldChar w:fldCharType="separate"/>
            </w:r>
            <w:r w:rsidR="004D4ECE" w:rsidRPr="004C1458">
              <w:rPr>
                <w:sz w:val="20"/>
                <w:szCs w:val="20"/>
                <w:lang w:val="fr-CA"/>
              </w:rPr>
              <w:t> </w:t>
            </w:r>
            <w:r w:rsidR="004D4ECE" w:rsidRPr="004C1458">
              <w:rPr>
                <w:sz w:val="20"/>
                <w:szCs w:val="20"/>
                <w:lang w:val="fr-CA"/>
              </w:rPr>
              <w:t> </w:t>
            </w:r>
            <w:r w:rsidR="004D4ECE" w:rsidRPr="004C1458">
              <w:rPr>
                <w:sz w:val="20"/>
                <w:szCs w:val="20"/>
                <w:lang w:val="fr-CA"/>
              </w:rPr>
              <w:t> </w:t>
            </w:r>
            <w:r w:rsidR="004D4ECE" w:rsidRPr="004C1458">
              <w:rPr>
                <w:sz w:val="20"/>
                <w:szCs w:val="20"/>
                <w:lang w:val="fr-CA"/>
              </w:rPr>
              <w:t> </w:t>
            </w:r>
            <w:r w:rsidR="004D4ECE" w:rsidRPr="004C1458">
              <w:rPr>
                <w:sz w:val="20"/>
                <w:szCs w:val="20"/>
                <w:lang w:val="fr-CA"/>
              </w:rPr>
              <w:t> </w:t>
            </w:r>
            <w:r w:rsidRPr="004C1458">
              <w:rPr>
                <w:sz w:val="20"/>
                <w:szCs w:val="20"/>
                <w:lang w:val="fr-CA"/>
              </w:rPr>
              <w:fldChar w:fldCharType="end"/>
            </w:r>
          </w:p>
        </w:tc>
        <w:tc>
          <w:tcPr>
            <w:tcW w:w="696" w:type="pct"/>
          </w:tcPr>
          <w:p w14:paraId="7CDC2EA7" w14:textId="77777777" w:rsidR="004D4ECE" w:rsidRPr="004C1458" w:rsidRDefault="00684F61" w:rsidP="004D4ECE">
            <w:pPr>
              <w:rPr>
                <w:sz w:val="20"/>
                <w:szCs w:val="20"/>
                <w:lang w:val="fr-CA"/>
              </w:rPr>
            </w:pPr>
            <w:r w:rsidRPr="004C1458">
              <w:rPr>
                <w:sz w:val="20"/>
                <w:szCs w:val="20"/>
                <w:lang w:val="fr-CA"/>
              </w:rPr>
              <w:fldChar w:fldCharType="begin">
                <w:ffData>
                  <w:name w:val="Text9"/>
                  <w:enabled/>
                  <w:calcOnExit w:val="0"/>
                  <w:textInput/>
                </w:ffData>
              </w:fldChar>
            </w:r>
            <w:r w:rsidR="004D4ECE" w:rsidRPr="004C1458">
              <w:rPr>
                <w:sz w:val="20"/>
                <w:szCs w:val="20"/>
                <w:lang w:val="fr-CA"/>
              </w:rPr>
              <w:instrText xml:space="preserve"> FORMTEXT </w:instrText>
            </w:r>
            <w:r w:rsidRPr="004C1458">
              <w:rPr>
                <w:sz w:val="20"/>
                <w:szCs w:val="20"/>
                <w:lang w:val="fr-CA"/>
              </w:rPr>
            </w:r>
            <w:r w:rsidRPr="004C1458">
              <w:rPr>
                <w:sz w:val="20"/>
                <w:szCs w:val="20"/>
                <w:lang w:val="fr-CA"/>
              </w:rPr>
              <w:fldChar w:fldCharType="separate"/>
            </w:r>
            <w:r w:rsidR="004D4ECE" w:rsidRPr="004C1458">
              <w:rPr>
                <w:sz w:val="20"/>
                <w:szCs w:val="20"/>
                <w:lang w:val="fr-CA"/>
              </w:rPr>
              <w:t> </w:t>
            </w:r>
            <w:r w:rsidR="004D4ECE" w:rsidRPr="004C1458">
              <w:rPr>
                <w:sz w:val="20"/>
                <w:szCs w:val="20"/>
                <w:lang w:val="fr-CA"/>
              </w:rPr>
              <w:t> </w:t>
            </w:r>
            <w:r w:rsidR="004D4ECE" w:rsidRPr="004C1458">
              <w:rPr>
                <w:sz w:val="20"/>
                <w:szCs w:val="20"/>
                <w:lang w:val="fr-CA"/>
              </w:rPr>
              <w:t> </w:t>
            </w:r>
            <w:r w:rsidR="004D4ECE" w:rsidRPr="004C1458">
              <w:rPr>
                <w:sz w:val="20"/>
                <w:szCs w:val="20"/>
                <w:lang w:val="fr-CA"/>
              </w:rPr>
              <w:t> </w:t>
            </w:r>
            <w:r w:rsidR="004D4ECE" w:rsidRPr="004C1458">
              <w:rPr>
                <w:sz w:val="20"/>
                <w:szCs w:val="20"/>
                <w:lang w:val="fr-CA"/>
              </w:rPr>
              <w:t> </w:t>
            </w:r>
            <w:r w:rsidRPr="004C1458">
              <w:rPr>
                <w:sz w:val="20"/>
                <w:szCs w:val="20"/>
                <w:lang w:val="fr-CA"/>
              </w:rPr>
              <w:fldChar w:fldCharType="end"/>
            </w:r>
          </w:p>
        </w:tc>
        <w:tc>
          <w:tcPr>
            <w:tcW w:w="1037" w:type="pct"/>
          </w:tcPr>
          <w:p w14:paraId="25F6B95A" w14:textId="77777777" w:rsidR="004D4ECE" w:rsidRPr="00C65065" w:rsidRDefault="00684F61" w:rsidP="004D4ECE">
            <w:pPr>
              <w:rPr>
                <w:sz w:val="20"/>
                <w:szCs w:val="20"/>
                <w:lang w:val="fr-CA"/>
              </w:rPr>
            </w:pPr>
            <w:r w:rsidRPr="004C1458">
              <w:rPr>
                <w:sz w:val="20"/>
                <w:szCs w:val="20"/>
                <w:lang w:val="fr-CA"/>
              </w:rPr>
              <w:fldChar w:fldCharType="begin">
                <w:ffData>
                  <w:name w:val="Text10"/>
                  <w:enabled/>
                  <w:calcOnExit w:val="0"/>
                  <w:textInput/>
                </w:ffData>
              </w:fldChar>
            </w:r>
            <w:r w:rsidR="004D4ECE" w:rsidRPr="004C1458">
              <w:rPr>
                <w:sz w:val="20"/>
                <w:szCs w:val="20"/>
                <w:lang w:val="fr-CA"/>
              </w:rPr>
              <w:instrText xml:space="preserve"> FORMTEXT </w:instrText>
            </w:r>
            <w:r w:rsidRPr="004C1458">
              <w:rPr>
                <w:sz w:val="20"/>
                <w:szCs w:val="20"/>
                <w:lang w:val="fr-CA"/>
              </w:rPr>
            </w:r>
            <w:r w:rsidRPr="004C1458">
              <w:rPr>
                <w:sz w:val="20"/>
                <w:szCs w:val="20"/>
                <w:lang w:val="fr-CA"/>
              </w:rPr>
              <w:fldChar w:fldCharType="separate"/>
            </w:r>
            <w:r w:rsidR="004D4ECE" w:rsidRPr="004C1458">
              <w:rPr>
                <w:sz w:val="20"/>
                <w:szCs w:val="20"/>
                <w:lang w:val="fr-CA"/>
              </w:rPr>
              <w:t> </w:t>
            </w:r>
            <w:r w:rsidR="004D4ECE" w:rsidRPr="004C1458">
              <w:rPr>
                <w:sz w:val="20"/>
                <w:szCs w:val="20"/>
                <w:lang w:val="fr-CA"/>
              </w:rPr>
              <w:t> </w:t>
            </w:r>
            <w:r w:rsidR="004D4ECE" w:rsidRPr="004C1458">
              <w:rPr>
                <w:sz w:val="20"/>
                <w:szCs w:val="20"/>
                <w:lang w:val="fr-CA"/>
              </w:rPr>
              <w:t> </w:t>
            </w:r>
            <w:r w:rsidR="004D4ECE" w:rsidRPr="004C1458">
              <w:rPr>
                <w:sz w:val="20"/>
                <w:szCs w:val="20"/>
                <w:lang w:val="fr-CA"/>
              </w:rPr>
              <w:t> </w:t>
            </w:r>
            <w:r w:rsidR="004D4ECE" w:rsidRPr="004C1458">
              <w:rPr>
                <w:sz w:val="20"/>
                <w:szCs w:val="20"/>
                <w:lang w:val="fr-CA"/>
              </w:rPr>
              <w:t> </w:t>
            </w:r>
            <w:r w:rsidRPr="004C1458">
              <w:rPr>
                <w:sz w:val="20"/>
                <w:szCs w:val="20"/>
                <w:lang w:val="fr-CA"/>
              </w:rPr>
              <w:fldChar w:fldCharType="end"/>
            </w:r>
          </w:p>
        </w:tc>
      </w:tr>
    </w:tbl>
    <w:p w14:paraId="54730A1A" w14:textId="77777777" w:rsidR="00135D08" w:rsidRPr="00C65065" w:rsidRDefault="00135D08">
      <w:pPr>
        <w:rPr>
          <w:b/>
          <w:u w:val="single"/>
          <w:lang w:val="fr-CA"/>
        </w:rPr>
      </w:pPr>
    </w:p>
    <w:sectPr w:rsidR="00135D08" w:rsidRPr="00C65065" w:rsidSect="00C360F7">
      <w:headerReference w:type="even" r:id="rId11"/>
      <w:headerReference w:type="default" r:id="rId12"/>
      <w:footerReference w:type="default" r:id="rId13"/>
      <w:headerReference w:type="first" r:id="rId14"/>
      <w:pgSz w:w="12240" w:h="20160" w:code="5"/>
      <w:pgMar w:top="851" w:right="851" w:bottom="851" w:left="851" w:header="720"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CEA328" w14:textId="77777777" w:rsidR="00F66EFF" w:rsidRDefault="00F66EFF" w:rsidP="00915866">
      <w:pPr>
        <w:spacing w:after="0" w:line="240" w:lineRule="auto"/>
      </w:pPr>
      <w:r>
        <w:separator/>
      </w:r>
    </w:p>
  </w:endnote>
  <w:endnote w:type="continuationSeparator" w:id="0">
    <w:p w14:paraId="6F7379E2" w14:textId="77777777" w:rsidR="00F66EFF" w:rsidRDefault="00F66EFF" w:rsidP="00915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856909"/>
      <w:docPartObj>
        <w:docPartGallery w:val="Page Numbers (Bottom of Page)"/>
        <w:docPartUnique/>
      </w:docPartObj>
    </w:sdtPr>
    <w:sdtEndPr>
      <w:rPr>
        <w:noProof/>
        <w:color w:val="833C0B" w:themeColor="accent2" w:themeShade="80"/>
      </w:rPr>
    </w:sdtEndPr>
    <w:sdtContent>
      <w:p w14:paraId="13AB0CB4" w14:textId="77777777" w:rsidR="002A2DB0" w:rsidRPr="00F20A7B" w:rsidRDefault="00684F61">
        <w:pPr>
          <w:pStyle w:val="Footer"/>
          <w:jc w:val="right"/>
          <w:rPr>
            <w:color w:val="833C0B" w:themeColor="accent2" w:themeShade="80"/>
          </w:rPr>
        </w:pPr>
        <w:r w:rsidRPr="00F20A7B">
          <w:rPr>
            <w:color w:val="833C0B" w:themeColor="accent2" w:themeShade="80"/>
          </w:rPr>
          <w:fldChar w:fldCharType="begin"/>
        </w:r>
        <w:r w:rsidR="002A2DB0" w:rsidRPr="00F20A7B">
          <w:rPr>
            <w:color w:val="833C0B" w:themeColor="accent2" w:themeShade="80"/>
          </w:rPr>
          <w:instrText xml:space="preserve"> PAGE   \* MERGEFORMAT </w:instrText>
        </w:r>
        <w:r w:rsidRPr="00F20A7B">
          <w:rPr>
            <w:color w:val="833C0B" w:themeColor="accent2" w:themeShade="80"/>
          </w:rPr>
          <w:fldChar w:fldCharType="separate"/>
        </w:r>
        <w:r w:rsidR="009960EA">
          <w:rPr>
            <w:noProof/>
            <w:color w:val="833C0B" w:themeColor="accent2" w:themeShade="80"/>
          </w:rPr>
          <w:t>2</w:t>
        </w:r>
        <w:r w:rsidRPr="00F20A7B">
          <w:rPr>
            <w:noProof/>
            <w:color w:val="833C0B" w:themeColor="accent2" w:themeShade="80"/>
          </w:rPr>
          <w:fldChar w:fldCharType="end"/>
        </w:r>
      </w:p>
    </w:sdtContent>
  </w:sdt>
  <w:p w14:paraId="2413068C" w14:textId="77777777" w:rsidR="002A2DB0" w:rsidRDefault="002A2D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553482" w14:textId="77777777" w:rsidR="00F66EFF" w:rsidRDefault="00F66EFF" w:rsidP="00915866">
      <w:pPr>
        <w:spacing w:after="0" w:line="240" w:lineRule="auto"/>
      </w:pPr>
      <w:r>
        <w:separator/>
      </w:r>
    </w:p>
  </w:footnote>
  <w:footnote w:type="continuationSeparator" w:id="0">
    <w:p w14:paraId="610F0367" w14:textId="77777777" w:rsidR="00F66EFF" w:rsidRDefault="00F66EFF" w:rsidP="00915866">
      <w:pPr>
        <w:spacing w:after="0" w:line="240" w:lineRule="auto"/>
      </w:pPr>
      <w:r>
        <w:continuationSeparator/>
      </w:r>
    </w:p>
  </w:footnote>
  <w:footnote w:id="1">
    <w:p w14:paraId="316CD44F" w14:textId="77777777" w:rsidR="002A2DB0" w:rsidRPr="004C1458" w:rsidRDefault="002A2DB0" w:rsidP="004C1458">
      <w:pPr>
        <w:pStyle w:val="FootnoteText"/>
        <w:rPr>
          <w:lang w:val="fr-CA"/>
        </w:rPr>
      </w:pPr>
      <w:r w:rsidRPr="004C1458">
        <w:rPr>
          <w:rStyle w:val="FootnoteReference"/>
          <w:lang w:val="fr-CA"/>
        </w:rPr>
        <w:footnoteRef/>
      </w:r>
      <w:r w:rsidRPr="002616AA">
        <w:rPr>
          <w:lang w:val="en-US"/>
        </w:rPr>
        <w:t xml:space="preserve"> </w:t>
      </w:r>
      <w:r w:rsidR="00D0571B" w:rsidRPr="004C1458">
        <w:t xml:space="preserve">AINSCOW, M., </w:t>
      </w:r>
      <w:r w:rsidR="00D0571B" w:rsidRPr="004C1458">
        <w:rPr>
          <w:i/>
          <w:iCs/>
        </w:rPr>
        <w:t>Promoting inclusion and equity in education: lessons from international experiences</w:t>
      </w:r>
      <w:r w:rsidR="00D0571B" w:rsidRPr="004C1458">
        <w:t>, 2020</w:t>
      </w:r>
      <w:r w:rsidR="00D0571B" w:rsidRPr="002616AA">
        <w:rPr>
          <w:lang w:val="en-US"/>
        </w:rPr>
        <w:t xml:space="preserve">. </w:t>
      </w:r>
      <w:r w:rsidR="004C1458" w:rsidRPr="004C1458">
        <w:rPr>
          <w:lang w:val="fr-CA"/>
        </w:rPr>
        <w:t>Internet : </w:t>
      </w:r>
      <w:r w:rsidR="00D0571B" w:rsidRPr="004C1458">
        <w:rPr>
          <w:lang w:val="fr-CA"/>
        </w:rPr>
        <w:t>www.tandfonline.com/doi/epub/10.1080/20020317.2020.1729587?needAccess=tru</w:t>
      </w:r>
    </w:p>
  </w:footnote>
  <w:footnote w:id="2">
    <w:p w14:paraId="3719B656" w14:textId="77777777" w:rsidR="002A2DB0" w:rsidRPr="004C1458" w:rsidRDefault="002A2DB0" w:rsidP="004C1458">
      <w:pPr>
        <w:pStyle w:val="FootnoteText"/>
        <w:rPr>
          <w:lang w:val="fr-CA"/>
        </w:rPr>
      </w:pPr>
      <w:r w:rsidRPr="004C1458">
        <w:rPr>
          <w:rStyle w:val="FootnoteReference"/>
          <w:lang w:val="fr-CA"/>
        </w:rPr>
        <w:footnoteRef/>
      </w:r>
      <w:r w:rsidRPr="004C1458">
        <w:rPr>
          <w:lang w:val="fr-CA"/>
        </w:rPr>
        <w:t xml:space="preserve"> </w:t>
      </w:r>
      <w:r w:rsidR="004C1458" w:rsidRPr="004C1458">
        <w:rPr>
          <w:lang w:val="fr-CA"/>
        </w:rPr>
        <w:t xml:space="preserve">Internet : </w:t>
      </w:r>
      <w:r w:rsidR="00BD17AC" w:rsidRPr="004C1458">
        <w:rPr>
          <w:lang w:val="fr-CA"/>
        </w:rPr>
        <w:t>www.edu.gov.on.ca/fre/document/reports/sihandf.pdf</w:t>
      </w:r>
    </w:p>
  </w:footnote>
  <w:footnote w:id="3">
    <w:p w14:paraId="7074E0B3" w14:textId="77777777" w:rsidR="002A2DB0" w:rsidRPr="004C1458" w:rsidRDefault="002A2DB0" w:rsidP="004C1458">
      <w:pPr>
        <w:pStyle w:val="FootnoteText"/>
        <w:rPr>
          <w:lang w:val="fr-CA"/>
        </w:rPr>
      </w:pPr>
      <w:r w:rsidRPr="004C1458">
        <w:rPr>
          <w:rStyle w:val="FootnoteReference"/>
          <w:lang w:val="fr-CA"/>
        </w:rPr>
        <w:footnoteRef/>
      </w:r>
      <w:r w:rsidRPr="004C1458">
        <w:rPr>
          <w:lang w:val="fr-CA"/>
        </w:rPr>
        <w:t xml:space="preserve"> </w:t>
      </w:r>
      <w:r w:rsidR="004C1458" w:rsidRPr="004C1458">
        <w:rPr>
          <w:lang w:val="fr-CA"/>
        </w:rPr>
        <w:t xml:space="preserve">Internet : </w:t>
      </w:r>
      <w:r w:rsidRPr="004C1458">
        <w:rPr>
          <w:lang w:val="fr-CA"/>
        </w:rPr>
        <w:t>www.gov.</w:t>
      </w:r>
      <w:r w:rsidR="00BD17AC" w:rsidRPr="004C1458">
        <w:rPr>
          <w:lang w:val="fr-CA"/>
        </w:rPr>
        <w:t>nl.ca/education/k12/development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E9F66" w14:textId="77777777" w:rsidR="005F1370" w:rsidRDefault="007C47D7">
    <w:pPr>
      <w:pStyle w:val="Header"/>
    </w:pPr>
    <w:r>
      <w:rPr>
        <w:noProof/>
      </w:rPr>
      <w:pict w14:anchorId="5E0018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925985" o:spid="_x0000_s2054" type="#_x0000_t136" style="position:absolute;margin-left:0;margin-top:0;width:520pt;height:222.85pt;rotation:315;z-index:-251654144;mso-position-horizontal:center;mso-position-horizontal-relative:margin;mso-position-vertical:center;mso-position-vertical-relative:margin" o:allowincell="f" fillcolor="silver" stroked="f">
          <v:fill opacity=".5"/>
          <v:textpath style="font-family:&quot;Calibri&quot;;font-size:1pt" string="ÉBAUCH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F7400" w14:textId="77777777" w:rsidR="002A2DB0" w:rsidRPr="00C65065" w:rsidRDefault="007C47D7" w:rsidP="00A23CF5">
    <w:pPr>
      <w:pStyle w:val="Header"/>
      <w:tabs>
        <w:tab w:val="clear" w:pos="4680"/>
        <w:tab w:val="clear" w:pos="9360"/>
      </w:tabs>
      <w:spacing w:after="240"/>
      <w:jc w:val="center"/>
      <w:rPr>
        <w:color w:val="833C0B" w:themeColor="accent2" w:themeShade="80"/>
        <w:lang w:val="fr-CA"/>
      </w:rPr>
    </w:pPr>
    <w:r>
      <w:rPr>
        <w:noProof/>
      </w:rPr>
      <w:pict w14:anchorId="44B601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925986" o:spid="_x0000_s2055" type="#_x0000_t136" style="position:absolute;left:0;text-align:left;margin-left:0;margin-top:0;width:520pt;height:222.85pt;rotation:315;z-index:-251652096;mso-position-horizontal:center;mso-position-horizontal-relative:margin;mso-position-vertical:center;mso-position-vertical-relative:margin" o:allowincell="f" fillcolor="silver" stroked="f">
          <v:fill opacity=".5"/>
          <v:textpath style="font-family:&quot;Calibri&quot;;font-size:1pt" string="ÉBAUCHE"/>
          <w10:wrap anchorx="margin" anchory="margin"/>
        </v:shape>
      </w:pict>
    </w:r>
    <w:r w:rsidR="00C65065" w:rsidRPr="00C65065">
      <w:rPr>
        <w:color w:val="833C0B" w:themeColor="accent2" w:themeShade="80"/>
        <w:lang w:val="fr-CA"/>
      </w:rPr>
      <w:t xml:space="preserve">Analyse des études d’impact, plans et politiques en matière d’équité </w:t>
    </w:r>
    <w:r w:rsidR="00C65065">
      <w:rPr>
        <w:color w:val="833C0B" w:themeColor="accent2" w:themeShade="80"/>
        <w:lang w:val="fr-CA"/>
      </w:rPr>
      <w:br/>
    </w:r>
    <w:r w:rsidR="00C65065" w:rsidRPr="00C65065">
      <w:rPr>
        <w:color w:val="833C0B" w:themeColor="accent2" w:themeShade="80"/>
        <w:lang w:val="fr-CA"/>
      </w:rPr>
      <w:t xml:space="preserve">dans les </w:t>
    </w:r>
    <w:r w:rsidR="00A23CF5" w:rsidRPr="00A23CF5">
      <w:rPr>
        <w:color w:val="833C0B" w:themeColor="accent2" w:themeShade="80"/>
        <w:lang w:val="fr-CA"/>
      </w:rPr>
      <w:t>écoles des provinces et territoires canadiens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D9691" w14:textId="77777777" w:rsidR="005F1370" w:rsidRDefault="007C47D7">
    <w:pPr>
      <w:pStyle w:val="Header"/>
    </w:pPr>
    <w:r>
      <w:rPr>
        <w:noProof/>
      </w:rPr>
      <w:pict w14:anchorId="155679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1925984" o:spid="_x0000_s2053" type="#_x0000_t136" style="position:absolute;margin-left:0;margin-top:0;width:520pt;height:222.85pt;rotation:315;z-index:-251656192;mso-position-horizontal:center;mso-position-horizontal-relative:margin;mso-position-vertical:center;mso-position-vertical-relative:margin" o:allowincell="f" fillcolor="silver" stroked="f">
          <v:fill opacity=".5"/>
          <v:textpath style="font-family:&quot;Calibri&quot;;font-size:1pt" string="ÉBAUCH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83466"/>
    <w:multiLevelType w:val="hybridMultilevel"/>
    <w:tmpl w:val="E034D2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3E75EFF"/>
    <w:multiLevelType w:val="multilevel"/>
    <w:tmpl w:val="35B6D0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5C7568"/>
    <w:multiLevelType w:val="hybridMultilevel"/>
    <w:tmpl w:val="C0E0DDB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18DC759E"/>
    <w:multiLevelType w:val="hybridMultilevel"/>
    <w:tmpl w:val="23F6E03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1A3B014B"/>
    <w:multiLevelType w:val="hybridMultilevel"/>
    <w:tmpl w:val="8BEA14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DC95234"/>
    <w:multiLevelType w:val="hybridMultilevel"/>
    <w:tmpl w:val="3C10B7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1F27716"/>
    <w:multiLevelType w:val="hybridMultilevel"/>
    <w:tmpl w:val="4580B3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47F56A2"/>
    <w:multiLevelType w:val="hybridMultilevel"/>
    <w:tmpl w:val="876263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62809C9"/>
    <w:multiLevelType w:val="hybridMultilevel"/>
    <w:tmpl w:val="50427C9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6B77F26"/>
    <w:multiLevelType w:val="multilevel"/>
    <w:tmpl w:val="433A6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6F6F48"/>
    <w:multiLevelType w:val="hybridMultilevel"/>
    <w:tmpl w:val="655C0B3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2290181"/>
    <w:multiLevelType w:val="hybridMultilevel"/>
    <w:tmpl w:val="A0DE0C0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34D05DEC"/>
    <w:multiLevelType w:val="hybridMultilevel"/>
    <w:tmpl w:val="C57A56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8C75A43"/>
    <w:multiLevelType w:val="multilevel"/>
    <w:tmpl w:val="05DC3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0B5974"/>
    <w:multiLevelType w:val="hybridMultilevel"/>
    <w:tmpl w:val="EE0264B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Times New Roman"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Times New Roman"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Times New Roman" w:hint="default"/>
      </w:rPr>
    </w:lvl>
    <w:lvl w:ilvl="8" w:tplc="10090005">
      <w:start w:val="1"/>
      <w:numFmt w:val="bullet"/>
      <w:lvlText w:val=""/>
      <w:lvlJc w:val="left"/>
      <w:pPr>
        <w:ind w:left="6480" w:hanging="360"/>
      </w:pPr>
      <w:rPr>
        <w:rFonts w:ascii="Wingdings" w:hAnsi="Wingdings" w:hint="default"/>
      </w:rPr>
    </w:lvl>
  </w:abstractNum>
  <w:abstractNum w:abstractNumId="15" w15:restartNumberingAfterBreak="0">
    <w:nsid w:val="3C9D0CF9"/>
    <w:multiLevelType w:val="hybridMultilevel"/>
    <w:tmpl w:val="6862DA26"/>
    <w:lvl w:ilvl="0" w:tplc="1EFE7C9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CFA74DD"/>
    <w:multiLevelType w:val="multilevel"/>
    <w:tmpl w:val="08C6F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5A6547"/>
    <w:multiLevelType w:val="hybridMultilevel"/>
    <w:tmpl w:val="38F45B7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45CB377F"/>
    <w:multiLevelType w:val="hybridMultilevel"/>
    <w:tmpl w:val="63B6A526"/>
    <w:lvl w:ilvl="0" w:tplc="53E4DF02">
      <w:start w:val="1"/>
      <w:numFmt w:val="bullet"/>
      <w:lvlText w:val=""/>
      <w:lvlJc w:val="left"/>
      <w:pPr>
        <w:tabs>
          <w:tab w:val="num" w:pos="720"/>
        </w:tabs>
        <w:ind w:left="720" w:hanging="360"/>
      </w:pPr>
      <w:rPr>
        <w:rFonts w:ascii="Wingdings" w:hAnsi="Wingdings" w:hint="default"/>
      </w:rPr>
    </w:lvl>
    <w:lvl w:ilvl="1" w:tplc="E87445EC" w:tentative="1">
      <w:start w:val="1"/>
      <w:numFmt w:val="bullet"/>
      <w:lvlText w:val=""/>
      <w:lvlJc w:val="left"/>
      <w:pPr>
        <w:tabs>
          <w:tab w:val="num" w:pos="1440"/>
        </w:tabs>
        <w:ind w:left="1440" w:hanging="360"/>
      </w:pPr>
      <w:rPr>
        <w:rFonts w:ascii="Wingdings" w:hAnsi="Wingdings" w:hint="default"/>
      </w:rPr>
    </w:lvl>
    <w:lvl w:ilvl="2" w:tplc="C0843D82" w:tentative="1">
      <w:start w:val="1"/>
      <w:numFmt w:val="bullet"/>
      <w:lvlText w:val=""/>
      <w:lvlJc w:val="left"/>
      <w:pPr>
        <w:tabs>
          <w:tab w:val="num" w:pos="2160"/>
        </w:tabs>
        <w:ind w:left="2160" w:hanging="360"/>
      </w:pPr>
      <w:rPr>
        <w:rFonts w:ascii="Wingdings" w:hAnsi="Wingdings" w:hint="default"/>
      </w:rPr>
    </w:lvl>
    <w:lvl w:ilvl="3" w:tplc="0416159E" w:tentative="1">
      <w:start w:val="1"/>
      <w:numFmt w:val="bullet"/>
      <w:lvlText w:val=""/>
      <w:lvlJc w:val="left"/>
      <w:pPr>
        <w:tabs>
          <w:tab w:val="num" w:pos="2880"/>
        </w:tabs>
        <w:ind w:left="2880" w:hanging="360"/>
      </w:pPr>
      <w:rPr>
        <w:rFonts w:ascii="Wingdings" w:hAnsi="Wingdings" w:hint="default"/>
      </w:rPr>
    </w:lvl>
    <w:lvl w:ilvl="4" w:tplc="9482D430" w:tentative="1">
      <w:start w:val="1"/>
      <w:numFmt w:val="bullet"/>
      <w:lvlText w:val=""/>
      <w:lvlJc w:val="left"/>
      <w:pPr>
        <w:tabs>
          <w:tab w:val="num" w:pos="3600"/>
        </w:tabs>
        <w:ind w:left="3600" w:hanging="360"/>
      </w:pPr>
      <w:rPr>
        <w:rFonts w:ascii="Wingdings" w:hAnsi="Wingdings" w:hint="default"/>
      </w:rPr>
    </w:lvl>
    <w:lvl w:ilvl="5" w:tplc="DEF03C90" w:tentative="1">
      <w:start w:val="1"/>
      <w:numFmt w:val="bullet"/>
      <w:lvlText w:val=""/>
      <w:lvlJc w:val="left"/>
      <w:pPr>
        <w:tabs>
          <w:tab w:val="num" w:pos="4320"/>
        </w:tabs>
        <w:ind w:left="4320" w:hanging="360"/>
      </w:pPr>
      <w:rPr>
        <w:rFonts w:ascii="Wingdings" w:hAnsi="Wingdings" w:hint="default"/>
      </w:rPr>
    </w:lvl>
    <w:lvl w:ilvl="6" w:tplc="B8620F2E" w:tentative="1">
      <w:start w:val="1"/>
      <w:numFmt w:val="bullet"/>
      <w:lvlText w:val=""/>
      <w:lvlJc w:val="left"/>
      <w:pPr>
        <w:tabs>
          <w:tab w:val="num" w:pos="5040"/>
        </w:tabs>
        <w:ind w:left="5040" w:hanging="360"/>
      </w:pPr>
      <w:rPr>
        <w:rFonts w:ascii="Wingdings" w:hAnsi="Wingdings" w:hint="default"/>
      </w:rPr>
    </w:lvl>
    <w:lvl w:ilvl="7" w:tplc="BFDAA0E4" w:tentative="1">
      <w:start w:val="1"/>
      <w:numFmt w:val="bullet"/>
      <w:lvlText w:val=""/>
      <w:lvlJc w:val="left"/>
      <w:pPr>
        <w:tabs>
          <w:tab w:val="num" w:pos="5760"/>
        </w:tabs>
        <w:ind w:left="5760" w:hanging="360"/>
      </w:pPr>
      <w:rPr>
        <w:rFonts w:ascii="Wingdings" w:hAnsi="Wingdings" w:hint="default"/>
      </w:rPr>
    </w:lvl>
    <w:lvl w:ilvl="8" w:tplc="BCC0C61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FE5CC3"/>
    <w:multiLevelType w:val="multilevel"/>
    <w:tmpl w:val="E594E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1F58E3"/>
    <w:multiLevelType w:val="hybridMultilevel"/>
    <w:tmpl w:val="8252EB4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5705270C"/>
    <w:multiLevelType w:val="hybridMultilevel"/>
    <w:tmpl w:val="FEFE1E0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58515C50"/>
    <w:multiLevelType w:val="multilevel"/>
    <w:tmpl w:val="7FBA9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6D30D8"/>
    <w:multiLevelType w:val="hybridMultilevel"/>
    <w:tmpl w:val="B97C53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C8946F9"/>
    <w:multiLevelType w:val="hybridMultilevel"/>
    <w:tmpl w:val="037E41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05F78FB"/>
    <w:multiLevelType w:val="hybridMultilevel"/>
    <w:tmpl w:val="CB004A2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64672244"/>
    <w:multiLevelType w:val="hybridMultilevel"/>
    <w:tmpl w:val="A6628F48"/>
    <w:lvl w:ilvl="0" w:tplc="BD4A5D7C">
      <w:numFmt w:val="bullet"/>
      <w:lvlText w:val="•"/>
      <w:lvlJc w:val="left"/>
      <w:pPr>
        <w:ind w:left="720" w:hanging="720"/>
      </w:pPr>
      <w:rPr>
        <w:rFonts w:ascii="Calibri" w:eastAsiaTheme="minorHAnsi" w:hAnsi="Calibri" w:cs="Calibr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66CE2896"/>
    <w:multiLevelType w:val="hybridMultilevel"/>
    <w:tmpl w:val="6A9431A2"/>
    <w:lvl w:ilvl="0" w:tplc="93709FE0">
      <w:start w:val="1"/>
      <w:numFmt w:val="bullet"/>
      <w:lvlText w:val=""/>
      <w:lvlJc w:val="left"/>
      <w:pPr>
        <w:tabs>
          <w:tab w:val="num" w:pos="720"/>
        </w:tabs>
        <w:ind w:left="720" w:hanging="360"/>
      </w:pPr>
      <w:rPr>
        <w:rFonts w:ascii="Wingdings" w:hAnsi="Wingdings" w:hint="default"/>
      </w:rPr>
    </w:lvl>
    <w:lvl w:ilvl="1" w:tplc="C1A67458" w:tentative="1">
      <w:start w:val="1"/>
      <w:numFmt w:val="bullet"/>
      <w:lvlText w:val=""/>
      <w:lvlJc w:val="left"/>
      <w:pPr>
        <w:tabs>
          <w:tab w:val="num" w:pos="1440"/>
        </w:tabs>
        <w:ind w:left="1440" w:hanging="360"/>
      </w:pPr>
      <w:rPr>
        <w:rFonts w:ascii="Wingdings" w:hAnsi="Wingdings" w:hint="default"/>
      </w:rPr>
    </w:lvl>
    <w:lvl w:ilvl="2" w:tplc="DA78C9CE" w:tentative="1">
      <w:start w:val="1"/>
      <w:numFmt w:val="bullet"/>
      <w:lvlText w:val=""/>
      <w:lvlJc w:val="left"/>
      <w:pPr>
        <w:tabs>
          <w:tab w:val="num" w:pos="2160"/>
        </w:tabs>
        <w:ind w:left="2160" w:hanging="360"/>
      </w:pPr>
      <w:rPr>
        <w:rFonts w:ascii="Wingdings" w:hAnsi="Wingdings" w:hint="default"/>
      </w:rPr>
    </w:lvl>
    <w:lvl w:ilvl="3" w:tplc="9E1E4B66" w:tentative="1">
      <w:start w:val="1"/>
      <w:numFmt w:val="bullet"/>
      <w:lvlText w:val=""/>
      <w:lvlJc w:val="left"/>
      <w:pPr>
        <w:tabs>
          <w:tab w:val="num" w:pos="2880"/>
        </w:tabs>
        <w:ind w:left="2880" w:hanging="360"/>
      </w:pPr>
      <w:rPr>
        <w:rFonts w:ascii="Wingdings" w:hAnsi="Wingdings" w:hint="default"/>
      </w:rPr>
    </w:lvl>
    <w:lvl w:ilvl="4" w:tplc="F0BAD076" w:tentative="1">
      <w:start w:val="1"/>
      <w:numFmt w:val="bullet"/>
      <w:lvlText w:val=""/>
      <w:lvlJc w:val="left"/>
      <w:pPr>
        <w:tabs>
          <w:tab w:val="num" w:pos="3600"/>
        </w:tabs>
        <w:ind w:left="3600" w:hanging="360"/>
      </w:pPr>
      <w:rPr>
        <w:rFonts w:ascii="Wingdings" w:hAnsi="Wingdings" w:hint="default"/>
      </w:rPr>
    </w:lvl>
    <w:lvl w:ilvl="5" w:tplc="CB1EC03A" w:tentative="1">
      <w:start w:val="1"/>
      <w:numFmt w:val="bullet"/>
      <w:lvlText w:val=""/>
      <w:lvlJc w:val="left"/>
      <w:pPr>
        <w:tabs>
          <w:tab w:val="num" w:pos="4320"/>
        </w:tabs>
        <w:ind w:left="4320" w:hanging="360"/>
      </w:pPr>
      <w:rPr>
        <w:rFonts w:ascii="Wingdings" w:hAnsi="Wingdings" w:hint="default"/>
      </w:rPr>
    </w:lvl>
    <w:lvl w:ilvl="6" w:tplc="E83281A6" w:tentative="1">
      <w:start w:val="1"/>
      <w:numFmt w:val="bullet"/>
      <w:lvlText w:val=""/>
      <w:lvlJc w:val="left"/>
      <w:pPr>
        <w:tabs>
          <w:tab w:val="num" w:pos="5040"/>
        </w:tabs>
        <w:ind w:left="5040" w:hanging="360"/>
      </w:pPr>
      <w:rPr>
        <w:rFonts w:ascii="Wingdings" w:hAnsi="Wingdings" w:hint="default"/>
      </w:rPr>
    </w:lvl>
    <w:lvl w:ilvl="7" w:tplc="5F0E2A44" w:tentative="1">
      <w:start w:val="1"/>
      <w:numFmt w:val="bullet"/>
      <w:lvlText w:val=""/>
      <w:lvlJc w:val="left"/>
      <w:pPr>
        <w:tabs>
          <w:tab w:val="num" w:pos="5760"/>
        </w:tabs>
        <w:ind w:left="5760" w:hanging="360"/>
      </w:pPr>
      <w:rPr>
        <w:rFonts w:ascii="Wingdings" w:hAnsi="Wingdings" w:hint="default"/>
      </w:rPr>
    </w:lvl>
    <w:lvl w:ilvl="8" w:tplc="006A36FA"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A324698"/>
    <w:multiLevelType w:val="hybridMultilevel"/>
    <w:tmpl w:val="FE5A4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713E2B46"/>
    <w:multiLevelType w:val="hybridMultilevel"/>
    <w:tmpl w:val="D62045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6D46E72"/>
    <w:multiLevelType w:val="hybridMultilevel"/>
    <w:tmpl w:val="D81E85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85943DA"/>
    <w:multiLevelType w:val="hybridMultilevel"/>
    <w:tmpl w:val="93A8FC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CE94358"/>
    <w:multiLevelType w:val="hybridMultilevel"/>
    <w:tmpl w:val="B11053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7D974FE7"/>
    <w:multiLevelType w:val="multilevel"/>
    <w:tmpl w:val="2408A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17"/>
  </w:num>
  <w:num w:numId="3">
    <w:abstractNumId w:val="5"/>
  </w:num>
  <w:num w:numId="4">
    <w:abstractNumId w:val="16"/>
  </w:num>
  <w:num w:numId="5">
    <w:abstractNumId w:val="13"/>
  </w:num>
  <w:num w:numId="6">
    <w:abstractNumId w:val="25"/>
  </w:num>
  <w:num w:numId="7">
    <w:abstractNumId w:val="0"/>
  </w:num>
  <w:num w:numId="8">
    <w:abstractNumId w:val="23"/>
  </w:num>
  <w:num w:numId="9">
    <w:abstractNumId w:val="21"/>
  </w:num>
  <w:num w:numId="10">
    <w:abstractNumId w:val="2"/>
  </w:num>
  <w:num w:numId="11">
    <w:abstractNumId w:val="32"/>
  </w:num>
  <w:num w:numId="12">
    <w:abstractNumId w:val="12"/>
  </w:num>
  <w:num w:numId="13">
    <w:abstractNumId w:val="6"/>
  </w:num>
  <w:num w:numId="14">
    <w:abstractNumId w:val="1"/>
  </w:num>
  <w:num w:numId="15">
    <w:abstractNumId w:val="9"/>
  </w:num>
  <w:num w:numId="16">
    <w:abstractNumId w:val="11"/>
  </w:num>
  <w:num w:numId="17">
    <w:abstractNumId w:val="5"/>
  </w:num>
  <w:num w:numId="18">
    <w:abstractNumId w:val="14"/>
  </w:num>
  <w:num w:numId="19">
    <w:abstractNumId w:val="30"/>
  </w:num>
  <w:num w:numId="20">
    <w:abstractNumId w:val="31"/>
  </w:num>
  <w:num w:numId="21">
    <w:abstractNumId w:val="19"/>
  </w:num>
  <w:num w:numId="22">
    <w:abstractNumId w:val="22"/>
  </w:num>
  <w:num w:numId="23">
    <w:abstractNumId w:val="33"/>
  </w:num>
  <w:num w:numId="24">
    <w:abstractNumId w:val="4"/>
  </w:num>
  <w:num w:numId="25">
    <w:abstractNumId w:val="24"/>
  </w:num>
  <w:num w:numId="26">
    <w:abstractNumId w:val="8"/>
  </w:num>
  <w:num w:numId="27">
    <w:abstractNumId w:val="10"/>
  </w:num>
  <w:num w:numId="28">
    <w:abstractNumId w:val="26"/>
  </w:num>
  <w:num w:numId="29">
    <w:abstractNumId w:val="7"/>
  </w:num>
  <w:num w:numId="30">
    <w:abstractNumId w:val="20"/>
  </w:num>
  <w:num w:numId="31">
    <w:abstractNumId w:val="3"/>
  </w:num>
  <w:num w:numId="32">
    <w:abstractNumId w:val="28"/>
  </w:num>
  <w:num w:numId="33">
    <w:abstractNumId w:val="18"/>
  </w:num>
  <w:num w:numId="34">
    <w:abstractNumId w:val="27"/>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5866"/>
    <w:rsid w:val="00001F42"/>
    <w:rsid w:val="000125BB"/>
    <w:rsid w:val="0002682F"/>
    <w:rsid w:val="00034E16"/>
    <w:rsid w:val="00037C7E"/>
    <w:rsid w:val="0004183F"/>
    <w:rsid w:val="0007653B"/>
    <w:rsid w:val="000765DC"/>
    <w:rsid w:val="000811AF"/>
    <w:rsid w:val="000A1B0C"/>
    <w:rsid w:val="000B27D6"/>
    <w:rsid w:val="000B2CB1"/>
    <w:rsid w:val="000C34D9"/>
    <w:rsid w:val="000C719A"/>
    <w:rsid w:val="000D555D"/>
    <w:rsid w:val="000D78BF"/>
    <w:rsid w:val="000E5E6E"/>
    <w:rsid w:val="000E7438"/>
    <w:rsid w:val="00102B5F"/>
    <w:rsid w:val="00102FE3"/>
    <w:rsid w:val="00107A87"/>
    <w:rsid w:val="001150C3"/>
    <w:rsid w:val="0013322C"/>
    <w:rsid w:val="00135D08"/>
    <w:rsid w:val="00140468"/>
    <w:rsid w:val="00147E27"/>
    <w:rsid w:val="00154E4D"/>
    <w:rsid w:val="00155308"/>
    <w:rsid w:val="00156443"/>
    <w:rsid w:val="00161FED"/>
    <w:rsid w:val="00170325"/>
    <w:rsid w:val="001943AF"/>
    <w:rsid w:val="001B6887"/>
    <w:rsid w:val="001D4EF8"/>
    <w:rsid w:val="001E2A7B"/>
    <w:rsid w:val="001E5D3F"/>
    <w:rsid w:val="001F456A"/>
    <w:rsid w:val="0020016B"/>
    <w:rsid w:val="00204D3C"/>
    <w:rsid w:val="00217263"/>
    <w:rsid w:val="00217452"/>
    <w:rsid w:val="002268B7"/>
    <w:rsid w:val="002350A9"/>
    <w:rsid w:val="00235815"/>
    <w:rsid w:val="002519FE"/>
    <w:rsid w:val="002616AA"/>
    <w:rsid w:val="002A2DB0"/>
    <w:rsid w:val="002A58BD"/>
    <w:rsid w:val="002B27EF"/>
    <w:rsid w:val="002B5EAA"/>
    <w:rsid w:val="002C51A4"/>
    <w:rsid w:val="002D087F"/>
    <w:rsid w:val="002D57F0"/>
    <w:rsid w:val="002E128C"/>
    <w:rsid w:val="002E7C81"/>
    <w:rsid w:val="002F186C"/>
    <w:rsid w:val="00307078"/>
    <w:rsid w:val="00307EF2"/>
    <w:rsid w:val="00322389"/>
    <w:rsid w:val="00326BA9"/>
    <w:rsid w:val="00333BB7"/>
    <w:rsid w:val="00345803"/>
    <w:rsid w:val="0035078E"/>
    <w:rsid w:val="003531FB"/>
    <w:rsid w:val="00360D19"/>
    <w:rsid w:val="00374394"/>
    <w:rsid w:val="00374D49"/>
    <w:rsid w:val="00382F9C"/>
    <w:rsid w:val="003A2BDF"/>
    <w:rsid w:val="003A3CDE"/>
    <w:rsid w:val="003A67DC"/>
    <w:rsid w:val="003B3802"/>
    <w:rsid w:val="003B4684"/>
    <w:rsid w:val="003B6F58"/>
    <w:rsid w:val="003B7979"/>
    <w:rsid w:val="003C256D"/>
    <w:rsid w:val="003C3B0D"/>
    <w:rsid w:val="003E0101"/>
    <w:rsid w:val="003E5BEE"/>
    <w:rsid w:val="003F1917"/>
    <w:rsid w:val="00410A27"/>
    <w:rsid w:val="00413040"/>
    <w:rsid w:val="0043243D"/>
    <w:rsid w:val="00437324"/>
    <w:rsid w:val="00465358"/>
    <w:rsid w:val="004808BB"/>
    <w:rsid w:val="00491B2D"/>
    <w:rsid w:val="0049353D"/>
    <w:rsid w:val="00494F54"/>
    <w:rsid w:val="004A0A61"/>
    <w:rsid w:val="004A5E4E"/>
    <w:rsid w:val="004B7A80"/>
    <w:rsid w:val="004C1458"/>
    <w:rsid w:val="004C2913"/>
    <w:rsid w:val="004D2669"/>
    <w:rsid w:val="004D4ECE"/>
    <w:rsid w:val="004F78B2"/>
    <w:rsid w:val="00510C44"/>
    <w:rsid w:val="00512FD4"/>
    <w:rsid w:val="00515133"/>
    <w:rsid w:val="00517D87"/>
    <w:rsid w:val="00524D8E"/>
    <w:rsid w:val="00531D37"/>
    <w:rsid w:val="005366FD"/>
    <w:rsid w:val="00544DF3"/>
    <w:rsid w:val="00551A22"/>
    <w:rsid w:val="005539DB"/>
    <w:rsid w:val="005539E1"/>
    <w:rsid w:val="005605A3"/>
    <w:rsid w:val="005B4410"/>
    <w:rsid w:val="005D05ED"/>
    <w:rsid w:val="005D2B78"/>
    <w:rsid w:val="005F1370"/>
    <w:rsid w:val="0061190C"/>
    <w:rsid w:val="0062262B"/>
    <w:rsid w:val="00627967"/>
    <w:rsid w:val="006773F2"/>
    <w:rsid w:val="006836A4"/>
    <w:rsid w:val="00684018"/>
    <w:rsid w:val="00684F61"/>
    <w:rsid w:val="006A017A"/>
    <w:rsid w:val="00716974"/>
    <w:rsid w:val="00735960"/>
    <w:rsid w:val="007361D5"/>
    <w:rsid w:val="007517DF"/>
    <w:rsid w:val="00754A42"/>
    <w:rsid w:val="00755DED"/>
    <w:rsid w:val="0076675B"/>
    <w:rsid w:val="007A076A"/>
    <w:rsid w:val="007A42B7"/>
    <w:rsid w:val="007C3970"/>
    <w:rsid w:val="007C47D7"/>
    <w:rsid w:val="007C7A6E"/>
    <w:rsid w:val="007D50AE"/>
    <w:rsid w:val="007E480B"/>
    <w:rsid w:val="007F2A17"/>
    <w:rsid w:val="008130ED"/>
    <w:rsid w:val="00821AC8"/>
    <w:rsid w:val="00834E7A"/>
    <w:rsid w:val="0084046B"/>
    <w:rsid w:val="0087378C"/>
    <w:rsid w:val="008769FC"/>
    <w:rsid w:val="0088696E"/>
    <w:rsid w:val="00897860"/>
    <w:rsid w:val="008B491C"/>
    <w:rsid w:val="008C6575"/>
    <w:rsid w:val="008C6857"/>
    <w:rsid w:val="008E3A14"/>
    <w:rsid w:val="00903837"/>
    <w:rsid w:val="00915866"/>
    <w:rsid w:val="00916114"/>
    <w:rsid w:val="0092692B"/>
    <w:rsid w:val="00934060"/>
    <w:rsid w:val="00943D06"/>
    <w:rsid w:val="009520F8"/>
    <w:rsid w:val="00954AC4"/>
    <w:rsid w:val="009573C6"/>
    <w:rsid w:val="00984B98"/>
    <w:rsid w:val="00990B96"/>
    <w:rsid w:val="00994325"/>
    <w:rsid w:val="009960EA"/>
    <w:rsid w:val="009A6AB5"/>
    <w:rsid w:val="009A6D22"/>
    <w:rsid w:val="009B3781"/>
    <w:rsid w:val="009C0976"/>
    <w:rsid w:val="009C4058"/>
    <w:rsid w:val="009D275F"/>
    <w:rsid w:val="009D4E26"/>
    <w:rsid w:val="009D639B"/>
    <w:rsid w:val="009D6F42"/>
    <w:rsid w:val="009E33A6"/>
    <w:rsid w:val="009E7403"/>
    <w:rsid w:val="009F11D6"/>
    <w:rsid w:val="00A06237"/>
    <w:rsid w:val="00A06DC0"/>
    <w:rsid w:val="00A23681"/>
    <w:rsid w:val="00A23CF5"/>
    <w:rsid w:val="00A360FF"/>
    <w:rsid w:val="00A47F6F"/>
    <w:rsid w:val="00A60930"/>
    <w:rsid w:val="00A638EC"/>
    <w:rsid w:val="00A72400"/>
    <w:rsid w:val="00AA1F0A"/>
    <w:rsid w:val="00AA3D51"/>
    <w:rsid w:val="00AB1F69"/>
    <w:rsid w:val="00AC0909"/>
    <w:rsid w:val="00AF1108"/>
    <w:rsid w:val="00AF3032"/>
    <w:rsid w:val="00AF4F2A"/>
    <w:rsid w:val="00AF6310"/>
    <w:rsid w:val="00AF79ED"/>
    <w:rsid w:val="00B11FA7"/>
    <w:rsid w:val="00B42F44"/>
    <w:rsid w:val="00B54130"/>
    <w:rsid w:val="00B66531"/>
    <w:rsid w:val="00B6792E"/>
    <w:rsid w:val="00B81D77"/>
    <w:rsid w:val="00B875A3"/>
    <w:rsid w:val="00B9143A"/>
    <w:rsid w:val="00B95A50"/>
    <w:rsid w:val="00BB7D1C"/>
    <w:rsid w:val="00BC1B22"/>
    <w:rsid w:val="00BD015C"/>
    <w:rsid w:val="00BD17AC"/>
    <w:rsid w:val="00BD7C4C"/>
    <w:rsid w:val="00BE604E"/>
    <w:rsid w:val="00C0425C"/>
    <w:rsid w:val="00C04C8F"/>
    <w:rsid w:val="00C10ACD"/>
    <w:rsid w:val="00C11534"/>
    <w:rsid w:val="00C2133C"/>
    <w:rsid w:val="00C230BD"/>
    <w:rsid w:val="00C2347F"/>
    <w:rsid w:val="00C26FBF"/>
    <w:rsid w:val="00C273B0"/>
    <w:rsid w:val="00C360F7"/>
    <w:rsid w:val="00C47AB1"/>
    <w:rsid w:val="00C516C5"/>
    <w:rsid w:val="00C5566C"/>
    <w:rsid w:val="00C62705"/>
    <w:rsid w:val="00C65065"/>
    <w:rsid w:val="00C81D65"/>
    <w:rsid w:val="00C82D18"/>
    <w:rsid w:val="00C90759"/>
    <w:rsid w:val="00CA3E1B"/>
    <w:rsid w:val="00CB0CE3"/>
    <w:rsid w:val="00CB0FF2"/>
    <w:rsid w:val="00CB2FEF"/>
    <w:rsid w:val="00CB3434"/>
    <w:rsid w:val="00D011F5"/>
    <w:rsid w:val="00D03EC9"/>
    <w:rsid w:val="00D0571B"/>
    <w:rsid w:val="00D274CC"/>
    <w:rsid w:val="00D4570F"/>
    <w:rsid w:val="00D4715C"/>
    <w:rsid w:val="00D70034"/>
    <w:rsid w:val="00D8613D"/>
    <w:rsid w:val="00D90965"/>
    <w:rsid w:val="00D974E5"/>
    <w:rsid w:val="00DA2923"/>
    <w:rsid w:val="00DA4815"/>
    <w:rsid w:val="00DA4C30"/>
    <w:rsid w:val="00DB0B32"/>
    <w:rsid w:val="00DB3569"/>
    <w:rsid w:val="00DB6308"/>
    <w:rsid w:val="00DB7777"/>
    <w:rsid w:val="00DD0EA4"/>
    <w:rsid w:val="00DE62B3"/>
    <w:rsid w:val="00DF1DAF"/>
    <w:rsid w:val="00E15AEC"/>
    <w:rsid w:val="00E23565"/>
    <w:rsid w:val="00E25661"/>
    <w:rsid w:val="00E27906"/>
    <w:rsid w:val="00E371A9"/>
    <w:rsid w:val="00E5180D"/>
    <w:rsid w:val="00E5622C"/>
    <w:rsid w:val="00E73C42"/>
    <w:rsid w:val="00EA1DEA"/>
    <w:rsid w:val="00EA4FB8"/>
    <w:rsid w:val="00EB09BC"/>
    <w:rsid w:val="00EB1E1E"/>
    <w:rsid w:val="00EB5475"/>
    <w:rsid w:val="00EB5996"/>
    <w:rsid w:val="00ED5548"/>
    <w:rsid w:val="00EE00BF"/>
    <w:rsid w:val="00EE7D42"/>
    <w:rsid w:val="00EF49AD"/>
    <w:rsid w:val="00F17E80"/>
    <w:rsid w:val="00F20A7B"/>
    <w:rsid w:val="00F26BD9"/>
    <w:rsid w:val="00F40EEA"/>
    <w:rsid w:val="00F46F8E"/>
    <w:rsid w:val="00F62000"/>
    <w:rsid w:val="00F66EFF"/>
    <w:rsid w:val="00F70C85"/>
    <w:rsid w:val="00F74B65"/>
    <w:rsid w:val="00F90E50"/>
    <w:rsid w:val="00F955D9"/>
    <w:rsid w:val="00FC4E17"/>
    <w:rsid w:val="00FE551D"/>
    <w:rsid w:val="00FF11B5"/>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51A118A9"/>
  <w15:docId w15:val="{F78C8018-0543-468E-B2B4-89779B5F7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CDE"/>
  </w:style>
  <w:style w:type="paragraph" w:styleId="Heading1">
    <w:name w:val="heading 1"/>
    <w:basedOn w:val="Normal"/>
    <w:next w:val="Normal"/>
    <w:link w:val="Heading1Char"/>
    <w:uiPriority w:val="9"/>
    <w:qFormat/>
    <w:rsid w:val="005539E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15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58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5866"/>
  </w:style>
  <w:style w:type="paragraph" w:styleId="Footer">
    <w:name w:val="footer"/>
    <w:basedOn w:val="Normal"/>
    <w:link w:val="FooterChar"/>
    <w:uiPriority w:val="99"/>
    <w:unhideWhenUsed/>
    <w:rsid w:val="009158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866"/>
  </w:style>
  <w:style w:type="character" w:styleId="Hyperlink">
    <w:name w:val="Hyperlink"/>
    <w:basedOn w:val="DefaultParagraphFont"/>
    <w:uiPriority w:val="99"/>
    <w:unhideWhenUsed/>
    <w:rsid w:val="00C81D65"/>
    <w:rPr>
      <w:color w:val="0563C1" w:themeColor="hyperlink"/>
      <w:u w:val="single"/>
    </w:rPr>
  </w:style>
  <w:style w:type="paragraph" w:styleId="ListParagraph">
    <w:name w:val="List Paragraph"/>
    <w:basedOn w:val="Normal"/>
    <w:uiPriority w:val="34"/>
    <w:qFormat/>
    <w:rsid w:val="0084046B"/>
    <w:pPr>
      <w:ind w:left="720"/>
      <w:contextualSpacing/>
    </w:pPr>
  </w:style>
  <w:style w:type="character" w:styleId="Emphasis">
    <w:name w:val="Emphasis"/>
    <w:basedOn w:val="DefaultParagraphFont"/>
    <w:uiPriority w:val="20"/>
    <w:qFormat/>
    <w:rsid w:val="00F955D9"/>
    <w:rPr>
      <w:i/>
      <w:iCs/>
    </w:rPr>
  </w:style>
  <w:style w:type="paragraph" w:customStyle="1" w:styleId="rtejustify">
    <w:name w:val="rtejustify"/>
    <w:basedOn w:val="Normal"/>
    <w:rsid w:val="0046535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465358"/>
    <w:rPr>
      <w:b/>
      <w:bCs/>
    </w:rPr>
  </w:style>
  <w:style w:type="table" w:customStyle="1" w:styleId="GridTable5Dark-Accent31">
    <w:name w:val="Grid Table 5 Dark - Accent 31"/>
    <w:basedOn w:val="TableNormal"/>
    <w:uiPriority w:val="50"/>
    <w:rsid w:val="00B81D7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styleId="FollowedHyperlink">
    <w:name w:val="FollowedHyperlink"/>
    <w:basedOn w:val="DefaultParagraphFont"/>
    <w:uiPriority w:val="99"/>
    <w:semiHidden/>
    <w:unhideWhenUsed/>
    <w:rsid w:val="00990B96"/>
    <w:rPr>
      <w:color w:val="954F72" w:themeColor="followedHyperlink"/>
      <w:u w:val="single"/>
    </w:rPr>
  </w:style>
  <w:style w:type="paragraph" w:styleId="Title">
    <w:name w:val="Title"/>
    <w:basedOn w:val="Normal"/>
    <w:next w:val="Normal"/>
    <w:link w:val="TitleChar"/>
    <w:uiPriority w:val="10"/>
    <w:qFormat/>
    <w:rsid w:val="00EA4FB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4FB8"/>
    <w:rPr>
      <w:rFonts w:asciiTheme="majorHAnsi" w:eastAsiaTheme="majorEastAsia" w:hAnsiTheme="majorHAnsi" w:cstheme="majorBidi"/>
      <w:spacing w:val="-10"/>
      <w:kern w:val="28"/>
      <w:sz w:val="56"/>
      <w:szCs w:val="56"/>
    </w:rPr>
  </w:style>
  <w:style w:type="paragraph" w:styleId="NoSpacing">
    <w:name w:val="No Spacing"/>
    <w:link w:val="NoSpacingChar"/>
    <w:uiPriority w:val="1"/>
    <w:qFormat/>
    <w:rsid w:val="003B380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3B3802"/>
    <w:rPr>
      <w:rFonts w:eastAsiaTheme="minorEastAsia"/>
      <w:lang w:val="en-US"/>
    </w:rPr>
  </w:style>
  <w:style w:type="paragraph" w:styleId="NormalWeb">
    <w:name w:val="Normal (Web)"/>
    <w:basedOn w:val="Normal"/>
    <w:uiPriority w:val="99"/>
    <w:semiHidden/>
    <w:unhideWhenUsed/>
    <w:rsid w:val="00954AC4"/>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3070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7078"/>
    <w:rPr>
      <w:rFonts w:ascii="Segoe UI" w:hAnsi="Segoe UI" w:cs="Segoe UI"/>
      <w:sz w:val="18"/>
      <w:szCs w:val="18"/>
    </w:rPr>
  </w:style>
  <w:style w:type="paragraph" w:styleId="EndnoteText">
    <w:name w:val="endnote text"/>
    <w:basedOn w:val="Normal"/>
    <w:link w:val="EndnoteTextChar"/>
    <w:uiPriority w:val="99"/>
    <w:semiHidden/>
    <w:unhideWhenUsed/>
    <w:rsid w:val="0030707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07078"/>
    <w:rPr>
      <w:sz w:val="20"/>
      <w:szCs w:val="20"/>
    </w:rPr>
  </w:style>
  <w:style w:type="character" w:styleId="EndnoteReference">
    <w:name w:val="endnote reference"/>
    <w:basedOn w:val="DefaultParagraphFont"/>
    <w:uiPriority w:val="99"/>
    <w:semiHidden/>
    <w:unhideWhenUsed/>
    <w:rsid w:val="00307078"/>
    <w:rPr>
      <w:vertAlign w:val="superscript"/>
    </w:rPr>
  </w:style>
  <w:style w:type="paragraph" w:styleId="FootnoteText">
    <w:name w:val="footnote text"/>
    <w:basedOn w:val="Normal"/>
    <w:link w:val="FootnoteTextChar"/>
    <w:uiPriority w:val="99"/>
    <w:semiHidden/>
    <w:unhideWhenUsed/>
    <w:rsid w:val="003070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07078"/>
    <w:rPr>
      <w:sz w:val="20"/>
      <w:szCs w:val="20"/>
    </w:rPr>
  </w:style>
  <w:style w:type="character" w:styleId="FootnoteReference">
    <w:name w:val="footnote reference"/>
    <w:basedOn w:val="DefaultParagraphFont"/>
    <w:uiPriority w:val="99"/>
    <w:semiHidden/>
    <w:unhideWhenUsed/>
    <w:rsid w:val="00307078"/>
    <w:rPr>
      <w:vertAlign w:val="superscript"/>
    </w:rPr>
  </w:style>
  <w:style w:type="character" w:customStyle="1" w:styleId="Heading1Char">
    <w:name w:val="Heading 1 Char"/>
    <w:basedOn w:val="DefaultParagraphFont"/>
    <w:link w:val="Heading1"/>
    <w:uiPriority w:val="9"/>
    <w:rsid w:val="005539E1"/>
    <w:rPr>
      <w:rFonts w:asciiTheme="majorHAnsi" w:eastAsiaTheme="majorEastAsia" w:hAnsiTheme="majorHAnsi" w:cstheme="majorBidi"/>
      <w:color w:val="2E74B5" w:themeColor="accent1" w:themeShade="BF"/>
      <w:sz w:val="32"/>
      <w:szCs w:val="32"/>
    </w:rPr>
  </w:style>
  <w:style w:type="character" w:customStyle="1" w:styleId="UnresolvedMention1">
    <w:name w:val="Unresolved Mention1"/>
    <w:basedOn w:val="DefaultParagraphFont"/>
    <w:uiPriority w:val="99"/>
    <w:semiHidden/>
    <w:unhideWhenUsed/>
    <w:rsid w:val="00EE00BF"/>
    <w:rPr>
      <w:color w:val="605E5C"/>
      <w:shd w:val="clear" w:color="auto" w:fill="E1DFDD"/>
    </w:rPr>
  </w:style>
  <w:style w:type="character" w:styleId="CommentReference">
    <w:name w:val="annotation reference"/>
    <w:basedOn w:val="DefaultParagraphFont"/>
    <w:uiPriority w:val="99"/>
    <w:semiHidden/>
    <w:unhideWhenUsed/>
    <w:rsid w:val="00307EF2"/>
    <w:rPr>
      <w:sz w:val="16"/>
      <w:szCs w:val="16"/>
    </w:rPr>
  </w:style>
  <w:style w:type="paragraph" w:styleId="CommentText">
    <w:name w:val="annotation text"/>
    <w:basedOn w:val="Normal"/>
    <w:link w:val="CommentTextChar"/>
    <w:uiPriority w:val="99"/>
    <w:semiHidden/>
    <w:unhideWhenUsed/>
    <w:rsid w:val="00307EF2"/>
    <w:pPr>
      <w:spacing w:line="240" w:lineRule="auto"/>
    </w:pPr>
    <w:rPr>
      <w:sz w:val="20"/>
      <w:szCs w:val="20"/>
    </w:rPr>
  </w:style>
  <w:style w:type="character" w:customStyle="1" w:styleId="CommentTextChar">
    <w:name w:val="Comment Text Char"/>
    <w:basedOn w:val="DefaultParagraphFont"/>
    <w:link w:val="CommentText"/>
    <w:uiPriority w:val="99"/>
    <w:semiHidden/>
    <w:rsid w:val="00307EF2"/>
    <w:rPr>
      <w:sz w:val="20"/>
      <w:szCs w:val="20"/>
    </w:rPr>
  </w:style>
  <w:style w:type="paragraph" w:styleId="CommentSubject">
    <w:name w:val="annotation subject"/>
    <w:basedOn w:val="CommentText"/>
    <w:next w:val="CommentText"/>
    <w:link w:val="CommentSubjectChar"/>
    <w:uiPriority w:val="99"/>
    <w:semiHidden/>
    <w:unhideWhenUsed/>
    <w:rsid w:val="00307EF2"/>
    <w:rPr>
      <w:b/>
      <w:bCs/>
    </w:rPr>
  </w:style>
  <w:style w:type="character" w:customStyle="1" w:styleId="CommentSubjectChar">
    <w:name w:val="Comment Subject Char"/>
    <w:basedOn w:val="CommentTextChar"/>
    <w:link w:val="CommentSubject"/>
    <w:uiPriority w:val="99"/>
    <w:semiHidden/>
    <w:rsid w:val="00307EF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781351">
      <w:bodyDiv w:val="1"/>
      <w:marLeft w:val="0"/>
      <w:marRight w:val="0"/>
      <w:marTop w:val="0"/>
      <w:marBottom w:val="0"/>
      <w:divBdr>
        <w:top w:val="none" w:sz="0" w:space="0" w:color="auto"/>
        <w:left w:val="none" w:sz="0" w:space="0" w:color="auto"/>
        <w:bottom w:val="none" w:sz="0" w:space="0" w:color="auto"/>
        <w:right w:val="none" w:sz="0" w:space="0" w:color="auto"/>
      </w:divBdr>
      <w:divsChild>
        <w:div w:id="515459084">
          <w:marLeft w:val="360"/>
          <w:marRight w:val="0"/>
          <w:marTop w:val="200"/>
          <w:marBottom w:val="0"/>
          <w:divBdr>
            <w:top w:val="none" w:sz="0" w:space="0" w:color="auto"/>
            <w:left w:val="none" w:sz="0" w:space="0" w:color="auto"/>
            <w:bottom w:val="none" w:sz="0" w:space="0" w:color="auto"/>
            <w:right w:val="none" w:sz="0" w:space="0" w:color="auto"/>
          </w:divBdr>
        </w:div>
      </w:divsChild>
    </w:div>
    <w:div w:id="189879184">
      <w:bodyDiv w:val="1"/>
      <w:marLeft w:val="0"/>
      <w:marRight w:val="0"/>
      <w:marTop w:val="0"/>
      <w:marBottom w:val="0"/>
      <w:divBdr>
        <w:top w:val="none" w:sz="0" w:space="0" w:color="auto"/>
        <w:left w:val="none" w:sz="0" w:space="0" w:color="auto"/>
        <w:bottom w:val="none" w:sz="0" w:space="0" w:color="auto"/>
        <w:right w:val="none" w:sz="0" w:space="0" w:color="auto"/>
      </w:divBdr>
    </w:div>
    <w:div w:id="317422981">
      <w:bodyDiv w:val="1"/>
      <w:marLeft w:val="0"/>
      <w:marRight w:val="0"/>
      <w:marTop w:val="0"/>
      <w:marBottom w:val="0"/>
      <w:divBdr>
        <w:top w:val="none" w:sz="0" w:space="0" w:color="auto"/>
        <w:left w:val="none" w:sz="0" w:space="0" w:color="auto"/>
        <w:bottom w:val="none" w:sz="0" w:space="0" w:color="auto"/>
        <w:right w:val="none" w:sz="0" w:space="0" w:color="auto"/>
      </w:divBdr>
    </w:div>
    <w:div w:id="492181502">
      <w:bodyDiv w:val="1"/>
      <w:marLeft w:val="0"/>
      <w:marRight w:val="0"/>
      <w:marTop w:val="0"/>
      <w:marBottom w:val="0"/>
      <w:divBdr>
        <w:top w:val="none" w:sz="0" w:space="0" w:color="auto"/>
        <w:left w:val="none" w:sz="0" w:space="0" w:color="auto"/>
        <w:bottom w:val="none" w:sz="0" w:space="0" w:color="auto"/>
        <w:right w:val="none" w:sz="0" w:space="0" w:color="auto"/>
      </w:divBdr>
    </w:div>
    <w:div w:id="610166572">
      <w:bodyDiv w:val="1"/>
      <w:marLeft w:val="0"/>
      <w:marRight w:val="0"/>
      <w:marTop w:val="0"/>
      <w:marBottom w:val="0"/>
      <w:divBdr>
        <w:top w:val="none" w:sz="0" w:space="0" w:color="auto"/>
        <w:left w:val="none" w:sz="0" w:space="0" w:color="auto"/>
        <w:bottom w:val="none" w:sz="0" w:space="0" w:color="auto"/>
        <w:right w:val="none" w:sz="0" w:space="0" w:color="auto"/>
      </w:divBdr>
    </w:div>
    <w:div w:id="616834681">
      <w:bodyDiv w:val="1"/>
      <w:marLeft w:val="0"/>
      <w:marRight w:val="0"/>
      <w:marTop w:val="0"/>
      <w:marBottom w:val="0"/>
      <w:divBdr>
        <w:top w:val="none" w:sz="0" w:space="0" w:color="auto"/>
        <w:left w:val="none" w:sz="0" w:space="0" w:color="auto"/>
        <w:bottom w:val="none" w:sz="0" w:space="0" w:color="auto"/>
        <w:right w:val="none" w:sz="0" w:space="0" w:color="auto"/>
      </w:divBdr>
    </w:div>
    <w:div w:id="635067619">
      <w:bodyDiv w:val="1"/>
      <w:marLeft w:val="0"/>
      <w:marRight w:val="0"/>
      <w:marTop w:val="0"/>
      <w:marBottom w:val="0"/>
      <w:divBdr>
        <w:top w:val="none" w:sz="0" w:space="0" w:color="auto"/>
        <w:left w:val="none" w:sz="0" w:space="0" w:color="auto"/>
        <w:bottom w:val="none" w:sz="0" w:space="0" w:color="auto"/>
        <w:right w:val="none" w:sz="0" w:space="0" w:color="auto"/>
      </w:divBdr>
    </w:div>
    <w:div w:id="772700371">
      <w:bodyDiv w:val="1"/>
      <w:marLeft w:val="0"/>
      <w:marRight w:val="0"/>
      <w:marTop w:val="0"/>
      <w:marBottom w:val="0"/>
      <w:divBdr>
        <w:top w:val="none" w:sz="0" w:space="0" w:color="auto"/>
        <w:left w:val="none" w:sz="0" w:space="0" w:color="auto"/>
        <w:bottom w:val="none" w:sz="0" w:space="0" w:color="auto"/>
        <w:right w:val="none" w:sz="0" w:space="0" w:color="auto"/>
      </w:divBdr>
    </w:div>
    <w:div w:id="835001940">
      <w:bodyDiv w:val="1"/>
      <w:marLeft w:val="0"/>
      <w:marRight w:val="0"/>
      <w:marTop w:val="0"/>
      <w:marBottom w:val="0"/>
      <w:divBdr>
        <w:top w:val="none" w:sz="0" w:space="0" w:color="auto"/>
        <w:left w:val="none" w:sz="0" w:space="0" w:color="auto"/>
        <w:bottom w:val="none" w:sz="0" w:space="0" w:color="auto"/>
        <w:right w:val="none" w:sz="0" w:space="0" w:color="auto"/>
      </w:divBdr>
    </w:div>
    <w:div w:id="938681978">
      <w:bodyDiv w:val="1"/>
      <w:marLeft w:val="0"/>
      <w:marRight w:val="0"/>
      <w:marTop w:val="0"/>
      <w:marBottom w:val="0"/>
      <w:divBdr>
        <w:top w:val="none" w:sz="0" w:space="0" w:color="auto"/>
        <w:left w:val="none" w:sz="0" w:space="0" w:color="auto"/>
        <w:bottom w:val="none" w:sz="0" w:space="0" w:color="auto"/>
        <w:right w:val="none" w:sz="0" w:space="0" w:color="auto"/>
      </w:divBdr>
      <w:divsChild>
        <w:div w:id="207839627">
          <w:marLeft w:val="360"/>
          <w:marRight w:val="0"/>
          <w:marTop w:val="200"/>
          <w:marBottom w:val="0"/>
          <w:divBdr>
            <w:top w:val="none" w:sz="0" w:space="0" w:color="auto"/>
            <w:left w:val="none" w:sz="0" w:space="0" w:color="auto"/>
            <w:bottom w:val="none" w:sz="0" w:space="0" w:color="auto"/>
            <w:right w:val="none" w:sz="0" w:space="0" w:color="auto"/>
          </w:divBdr>
        </w:div>
      </w:divsChild>
    </w:div>
    <w:div w:id="968631597">
      <w:bodyDiv w:val="1"/>
      <w:marLeft w:val="0"/>
      <w:marRight w:val="0"/>
      <w:marTop w:val="0"/>
      <w:marBottom w:val="0"/>
      <w:divBdr>
        <w:top w:val="none" w:sz="0" w:space="0" w:color="auto"/>
        <w:left w:val="none" w:sz="0" w:space="0" w:color="auto"/>
        <w:bottom w:val="none" w:sz="0" w:space="0" w:color="auto"/>
        <w:right w:val="none" w:sz="0" w:space="0" w:color="auto"/>
      </w:divBdr>
    </w:div>
    <w:div w:id="975914836">
      <w:bodyDiv w:val="1"/>
      <w:marLeft w:val="0"/>
      <w:marRight w:val="0"/>
      <w:marTop w:val="0"/>
      <w:marBottom w:val="0"/>
      <w:divBdr>
        <w:top w:val="none" w:sz="0" w:space="0" w:color="auto"/>
        <w:left w:val="none" w:sz="0" w:space="0" w:color="auto"/>
        <w:bottom w:val="none" w:sz="0" w:space="0" w:color="auto"/>
        <w:right w:val="none" w:sz="0" w:space="0" w:color="auto"/>
      </w:divBdr>
    </w:div>
    <w:div w:id="1165632804">
      <w:bodyDiv w:val="1"/>
      <w:marLeft w:val="0"/>
      <w:marRight w:val="0"/>
      <w:marTop w:val="0"/>
      <w:marBottom w:val="0"/>
      <w:divBdr>
        <w:top w:val="none" w:sz="0" w:space="0" w:color="auto"/>
        <w:left w:val="none" w:sz="0" w:space="0" w:color="auto"/>
        <w:bottom w:val="none" w:sz="0" w:space="0" w:color="auto"/>
        <w:right w:val="none" w:sz="0" w:space="0" w:color="auto"/>
      </w:divBdr>
    </w:div>
    <w:div w:id="1292710539">
      <w:bodyDiv w:val="1"/>
      <w:marLeft w:val="0"/>
      <w:marRight w:val="0"/>
      <w:marTop w:val="0"/>
      <w:marBottom w:val="0"/>
      <w:divBdr>
        <w:top w:val="none" w:sz="0" w:space="0" w:color="auto"/>
        <w:left w:val="none" w:sz="0" w:space="0" w:color="auto"/>
        <w:bottom w:val="none" w:sz="0" w:space="0" w:color="auto"/>
        <w:right w:val="none" w:sz="0" w:space="0" w:color="auto"/>
      </w:divBdr>
    </w:div>
    <w:div w:id="1302803816">
      <w:bodyDiv w:val="1"/>
      <w:marLeft w:val="0"/>
      <w:marRight w:val="0"/>
      <w:marTop w:val="0"/>
      <w:marBottom w:val="0"/>
      <w:divBdr>
        <w:top w:val="none" w:sz="0" w:space="0" w:color="auto"/>
        <w:left w:val="none" w:sz="0" w:space="0" w:color="auto"/>
        <w:bottom w:val="none" w:sz="0" w:space="0" w:color="auto"/>
        <w:right w:val="none" w:sz="0" w:space="0" w:color="auto"/>
      </w:divBdr>
    </w:div>
    <w:div w:id="1378894888">
      <w:bodyDiv w:val="1"/>
      <w:marLeft w:val="0"/>
      <w:marRight w:val="0"/>
      <w:marTop w:val="0"/>
      <w:marBottom w:val="0"/>
      <w:divBdr>
        <w:top w:val="none" w:sz="0" w:space="0" w:color="auto"/>
        <w:left w:val="none" w:sz="0" w:space="0" w:color="auto"/>
        <w:bottom w:val="none" w:sz="0" w:space="0" w:color="auto"/>
        <w:right w:val="none" w:sz="0" w:space="0" w:color="auto"/>
      </w:divBdr>
    </w:div>
    <w:div w:id="1591696680">
      <w:bodyDiv w:val="1"/>
      <w:marLeft w:val="0"/>
      <w:marRight w:val="0"/>
      <w:marTop w:val="0"/>
      <w:marBottom w:val="0"/>
      <w:divBdr>
        <w:top w:val="none" w:sz="0" w:space="0" w:color="auto"/>
        <w:left w:val="none" w:sz="0" w:space="0" w:color="auto"/>
        <w:bottom w:val="none" w:sz="0" w:space="0" w:color="auto"/>
        <w:right w:val="none" w:sz="0" w:space="0" w:color="auto"/>
      </w:divBdr>
    </w:div>
    <w:div w:id="1644508437">
      <w:bodyDiv w:val="1"/>
      <w:marLeft w:val="0"/>
      <w:marRight w:val="0"/>
      <w:marTop w:val="0"/>
      <w:marBottom w:val="0"/>
      <w:divBdr>
        <w:top w:val="none" w:sz="0" w:space="0" w:color="auto"/>
        <w:left w:val="none" w:sz="0" w:space="0" w:color="auto"/>
        <w:bottom w:val="none" w:sz="0" w:space="0" w:color="auto"/>
        <w:right w:val="none" w:sz="0" w:space="0" w:color="auto"/>
      </w:divBdr>
    </w:div>
    <w:div w:id="1710915497">
      <w:bodyDiv w:val="1"/>
      <w:marLeft w:val="0"/>
      <w:marRight w:val="0"/>
      <w:marTop w:val="0"/>
      <w:marBottom w:val="0"/>
      <w:divBdr>
        <w:top w:val="none" w:sz="0" w:space="0" w:color="auto"/>
        <w:left w:val="none" w:sz="0" w:space="0" w:color="auto"/>
        <w:bottom w:val="none" w:sz="0" w:space="0" w:color="auto"/>
        <w:right w:val="none" w:sz="0" w:space="0" w:color="auto"/>
      </w:divBdr>
    </w:div>
    <w:div w:id="1949385067">
      <w:bodyDiv w:val="1"/>
      <w:marLeft w:val="0"/>
      <w:marRight w:val="0"/>
      <w:marTop w:val="0"/>
      <w:marBottom w:val="0"/>
      <w:divBdr>
        <w:top w:val="none" w:sz="0" w:space="0" w:color="auto"/>
        <w:left w:val="none" w:sz="0" w:space="0" w:color="auto"/>
        <w:bottom w:val="none" w:sz="0" w:space="0" w:color="auto"/>
        <w:right w:val="none" w:sz="0" w:space="0" w:color="auto"/>
      </w:divBdr>
    </w:div>
    <w:div w:id="2023622826">
      <w:bodyDiv w:val="1"/>
      <w:marLeft w:val="0"/>
      <w:marRight w:val="0"/>
      <w:marTop w:val="0"/>
      <w:marBottom w:val="0"/>
      <w:divBdr>
        <w:top w:val="none" w:sz="0" w:space="0" w:color="auto"/>
        <w:left w:val="none" w:sz="0" w:space="0" w:color="auto"/>
        <w:bottom w:val="none" w:sz="0" w:space="0" w:color="auto"/>
        <w:right w:val="none" w:sz="0" w:space="0" w:color="auto"/>
      </w:divBdr>
    </w:div>
    <w:div w:id="2032755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remakelearning.org/blog/2020/09/11/equity-in-pa-fill-up-gives-a-crash-course-in-the-fundamentals-of-equitable-education/"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Résumé de l’utilisation d’outils et de politiques en matière d’équité dans les écoles et les districts et divisions scolaires au Canada</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7576B83-8478-4124-BD25-FF919886D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892</Words>
  <Characters>5086</Characters>
  <Application>Microsoft Office Word</Application>
  <DocSecurity>0</DocSecurity>
  <Lines>42</Lines>
  <Paragraphs>11</Paragraphs>
  <ScaleCrop>false</ScaleCrop>
  <HeadingPairs>
    <vt:vector size="6" baseType="variant">
      <vt:variant>
        <vt:lpstr>Titre</vt:lpstr>
      </vt:variant>
      <vt:variant>
        <vt:i4>1</vt:i4>
      </vt:variant>
      <vt:variant>
        <vt:lpstr>Titres</vt:lpstr>
      </vt:variant>
      <vt:variant>
        <vt:i4>1</vt:i4>
      </vt:variant>
      <vt:variant>
        <vt:lpstr>Title</vt:lpstr>
      </vt:variant>
      <vt:variant>
        <vt:i4>1</vt:i4>
      </vt:variant>
    </vt:vector>
  </HeadingPairs>
  <TitlesOfParts>
    <vt:vector size="3" baseType="lpstr">
      <vt:lpstr>Analyse des modèles de développement et d’amélioration et des outils en matière d’équité dans les écoles provinciales et territoriales canadiennes</vt:lpstr>
      <vt:lpstr>This Environmental Scan has 2 components: School development/improvement and equ</vt:lpstr>
      <vt:lpstr>Scan of School Development/Improvement Models and Equity Tools in Canadian Provincial and Territorial Schools</vt:lpstr>
    </vt:vector>
  </TitlesOfParts>
  <Company>Government of Manitoba</Company>
  <LinksUpToDate>false</LinksUpToDate>
  <CharactersWithSpaces>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Analyse des modèles de développement et d’amélioration et des outils en matière d’équité dans les écoles des provinces et territoires canadiens</dc:title>
  <dc:creator>Groupe de travail sur l’équité du Consortium conjoint pour les écoles en santé (CCES)</dc:creator>
  <cp:lastModifiedBy>Susan Hornby</cp:lastModifiedBy>
  <cp:revision>2</cp:revision>
  <cp:lastPrinted>2022-05-19T21:10:00Z</cp:lastPrinted>
  <dcterms:created xsi:type="dcterms:W3CDTF">2022-06-06T14:34:00Z</dcterms:created>
  <dcterms:modified xsi:type="dcterms:W3CDTF">2022-06-06T14:34:00Z</dcterms:modified>
  <cp:category>Le 4 mai 2022</cp:category>
</cp:coreProperties>
</file>